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2C5E"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3834F6B4"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RPr="00BB4F9B" w14:paraId="1FC9B9C9" w14:textId="77777777" w:rsidTr="00FE042C">
        <w:trPr>
          <w:trHeight w:val="593"/>
        </w:trPr>
        <w:tc>
          <w:tcPr>
            <w:tcW w:w="2578" w:type="dxa"/>
            <w:shd w:val="clear" w:color="auto" w:fill="D9D9D9" w:themeFill="background1" w:themeFillShade="D9"/>
            <w:vAlign w:val="center"/>
          </w:tcPr>
          <w:p w14:paraId="62E92816" w14:textId="77777777" w:rsidR="00ED0F61" w:rsidRPr="00BB4F9B" w:rsidRDefault="00ED0F61" w:rsidP="00F166D5">
            <w:pPr>
              <w:rPr>
                <w:rFonts w:ascii="Arial" w:hAnsi="Arial"/>
                <w:b/>
              </w:rPr>
            </w:pPr>
            <w:r w:rsidRPr="00BB4F9B">
              <w:rPr>
                <w:rFonts w:ascii="Arial" w:hAnsi="Arial"/>
                <w:b/>
              </w:rPr>
              <w:t>Post Title:</w:t>
            </w:r>
          </w:p>
        </w:tc>
        <w:tc>
          <w:tcPr>
            <w:tcW w:w="2686" w:type="dxa"/>
            <w:vAlign w:val="center"/>
          </w:tcPr>
          <w:p w14:paraId="25B3C5E3" w14:textId="3020590E" w:rsidR="00ED0F61" w:rsidRPr="00BB4F9B" w:rsidRDefault="000057E9" w:rsidP="0047114F">
            <w:pPr>
              <w:rPr>
                <w:rFonts w:ascii="Arial" w:hAnsi="Arial"/>
                <w:b/>
              </w:rPr>
            </w:pPr>
            <w:r>
              <w:rPr>
                <w:rFonts w:ascii="Arial" w:hAnsi="Arial"/>
                <w:b/>
              </w:rPr>
              <w:t xml:space="preserve">Higher Education </w:t>
            </w:r>
            <w:r w:rsidR="006E117E">
              <w:rPr>
                <w:rFonts w:ascii="Arial" w:hAnsi="Arial"/>
                <w:b/>
              </w:rPr>
              <w:t>M</w:t>
            </w:r>
            <w:r>
              <w:rPr>
                <w:rFonts w:ascii="Arial" w:hAnsi="Arial"/>
                <w:b/>
              </w:rPr>
              <w:t>anager</w:t>
            </w:r>
          </w:p>
        </w:tc>
        <w:tc>
          <w:tcPr>
            <w:tcW w:w="2126" w:type="dxa"/>
            <w:shd w:val="clear" w:color="auto" w:fill="D9D9D9" w:themeFill="background1" w:themeFillShade="D9"/>
            <w:vAlign w:val="center"/>
          </w:tcPr>
          <w:p w14:paraId="7CBB4C89" w14:textId="77777777" w:rsidR="00ED0F61" w:rsidRPr="00BB4F9B" w:rsidRDefault="00473090" w:rsidP="00F166D5">
            <w:pPr>
              <w:rPr>
                <w:rFonts w:ascii="Arial" w:hAnsi="Arial"/>
                <w:b/>
              </w:rPr>
            </w:pPr>
            <w:r w:rsidRPr="00BB4F9B">
              <w:rPr>
                <w:rFonts w:ascii="Arial" w:hAnsi="Arial"/>
                <w:b/>
              </w:rPr>
              <w:t>Department:</w:t>
            </w:r>
          </w:p>
        </w:tc>
        <w:tc>
          <w:tcPr>
            <w:tcW w:w="2938" w:type="dxa"/>
          </w:tcPr>
          <w:p w14:paraId="38741104" w14:textId="77777777" w:rsidR="00ED0F61" w:rsidRPr="00BB4F9B" w:rsidRDefault="00ED0F61" w:rsidP="00FE042C">
            <w:pPr>
              <w:rPr>
                <w:rFonts w:ascii="Arial" w:hAnsi="Arial"/>
                <w:b/>
              </w:rPr>
            </w:pPr>
          </w:p>
          <w:p w14:paraId="57BD99FF" w14:textId="77777777" w:rsidR="00AA6311" w:rsidRPr="001C4D5D" w:rsidRDefault="00AE212A" w:rsidP="00FE042C">
            <w:pPr>
              <w:rPr>
                <w:rFonts w:ascii="Arial" w:hAnsi="Arial"/>
                <w:b/>
                <w:color w:val="FF0000"/>
              </w:rPr>
            </w:pPr>
            <w:r w:rsidRPr="00164BFB">
              <w:rPr>
                <w:rFonts w:ascii="Arial" w:hAnsi="Arial"/>
                <w:b/>
              </w:rPr>
              <w:t>HE and Skill</w:t>
            </w:r>
            <w:r w:rsidR="005C3C54">
              <w:rPr>
                <w:rFonts w:ascii="Arial" w:hAnsi="Arial"/>
                <w:b/>
              </w:rPr>
              <w:t>s</w:t>
            </w:r>
          </w:p>
        </w:tc>
      </w:tr>
      <w:tr w:rsidR="00ED0F61" w:rsidRPr="00BB4F9B" w14:paraId="1850BB05" w14:textId="77777777" w:rsidTr="002F6E57">
        <w:trPr>
          <w:trHeight w:val="593"/>
        </w:trPr>
        <w:tc>
          <w:tcPr>
            <w:tcW w:w="2578" w:type="dxa"/>
            <w:shd w:val="clear" w:color="auto" w:fill="D9D9D9" w:themeFill="background1" w:themeFillShade="D9"/>
            <w:vAlign w:val="center"/>
          </w:tcPr>
          <w:p w14:paraId="18E907F3" w14:textId="77777777" w:rsidR="00ED0F61" w:rsidRPr="00BB4F9B" w:rsidRDefault="00473090" w:rsidP="00F166D5">
            <w:pPr>
              <w:rPr>
                <w:rFonts w:ascii="Arial" w:hAnsi="Arial"/>
                <w:b/>
              </w:rPr>
            </w:pPr>
            <w:r w:rsidRPr="00BB4F9B">
              <w:rPr>
                <w:rFonts w:ascii="Arial" w:hAnsi="Arial"/>
                <w:b/>
              </w:rPr>
              <w:t>Hours per week:</w:t>
            </w:r>
          </w:p>
        </w:tc>
        <w:tc>
          <w:tcPr>
            <w:tcW w:w="2686" w:type="dxa"/>
            <w:vAlign w:val="center"/>
          </w:tcPr>
          <w:p w14:paraId="3EE2A408" w14:textId="77777777" w:rsidR="00ED0F61" w:rsidRPr="00BB4F9B" w:rsidRDefault="00AA6311" w:rsidP="00F166D5">
            <w:pPr>
              <w:rPr>
                <w:rFonts w:ascii="Arial" w:hAnsi="Arial"/>
              </w:rPr>
            </w:pPr>
            <w:r w:rsidRPr="00BB4F9B">
              <w:rPr>
                <w:rFonts w:ascii="Arial" w:hAnsi="Arial"/>
              </w:rPr>
              <w:t>37</w:t>
            </w:r>
          </w:p>
        </w:tc>
        <w:tc>
          <w:tcPr>
            <w:tcW w:w="2126" w:type="dxa"/>
            <w:shd w:val="clear" w:color="auto" w:fill="D9D9D9" w:themeFill="background1" w:themeFillShade="D9"/>
            <w:vAlign w:val="center"/>
          </w:tcPr>
          <w:p w14:paraId="17BBADEF" w14:textId="77777777" w:rsidR="00ED0F61" w:rsidRPr="00BB4F9B" w:rsidRDefault="00473090" w:rsidP="00F166D5">
            <w:pPr>
              <w:rPr>
                <w:rFonts w:ascii="Arial" w:hAnsi="Arial"/>
                <w:b/>
              </w:rPr>
            </w:pPr>
            <w:r w:rsidRPr="00BB4F9B">
              <w:rPr>
                <w:rFonts w:ascii="Arial" w:hAnsi="Arial"/>
                <w:b/>
              </w:rPr>
              <w:t>Weeks per year:</w:t>
            </w:r>
          </w:p>
        </w:tc>
        <w:tc>
          <w:tcPr>
            <w:tcW w:w="2938" w:type="dxa"/>
          </w:tcPr>
          <w:p w14:paraId="160C7A4D" w14:textId="77777777" w:rsidR="00AA6311" w:rsidRPr="00BB4F9B" w:rsidRDefault="00AA6311" w:rsidP="00F166D5">
            <w:pPr>
              <w:rPr>
                <w:rFonts w:ascii="Arial" w:hAnsi="Arial"/>
              </w:rPr>
            </w:pPr>
          </w:p>
          <w:p w14:paraId="77BC9298" w14:textId="77777777" w:rsidR="00ED0F61" w:rsidRPr="00BB4F9B" w:rsidRDefault="00AA6311" w:rsidP="00F166D5">
            <w:pPr>
              <w:rPr>
                <w:rFonts w:ascii="Arial" w:hAnsi="Arial"/>
              </w:rPr>
            </w:pPr>
            <w:r w:rsidRPr="00BB4F9B">
              <w:rPr>
                <w:rFonts w:ascii="Arial" w:hAnsi="Arial"/>
              </w:rPr>
              <w:t>52.14</w:t>
            </w:r>
          </w:p>
        </w:tc>
      </w:tr>
      <w:tr w:rsidR="00ED0F61" w:rsidRPr="00BB4F9B" w14:paraId="4A7DD4BF" w14:textId="77777777" w:rsidTr="00164BFB">
        <w:trPr>
          <w:trHeight w:val="593"/>
        </w:trPr>
        <w:tc>
          <w:tcPr>
            <w:tcW w:w="2578" w:type="dxa"/>
            <w:shd w:val="clear" w:color="auto" w:fill="D9D9D9" w:themeFill="background1" w:themeFillShade="D9"/>
            <w:vAlign w:val="center"/>
          </w:tcPr>
          <w:p w14:paraId="6C237493" w14:textId="77777777" w:rsidR="00ED0F61" w:rsidRPr="00BB4F9B" w:rsidRDefault="00473090" w:rsidP="00F166D5">
            <w:pPr>
              <w:rPr>
                <w:rFonts w:ascii="Arial" w:hAnsi="Arial"/>
                <w:b/>
              </w:rPr>
            </w:pPr>
            <w:r w:rsidRPr="00BB4F9B">
              <w:rPr>
                <w:rFonts w:ascii="Arial" w:hAnsi="Arial"/>
                <w:b/>
              </w:rPr>
              <w:t>Contract Type:</w:t>
            </w:r>
          </w:p>
        </w:tc>
        <w:tc>
          <w:tcPr>
            <w:tcW w:w="2686" w:type="dxa"/>
            <w:vAlign w:val="center"/>
          </w:tcPr>
          <w:p w14:paraId="273C095D" w14:textId="77777777" w:rsidR="00ED0F61" w:rsidRPr="00BB4F9B" w:rsidRDefault="00AA6311" w:rsidP="00F166D5">
            <w:pPr>
              <w:rPr>
                <w:rFonts w:ascii="Arial" w:hAnsi="Arial"/>
              </w:rPr>
            </w:pPr>
            <w:r w:rsidRPr="00BB4F9B">
              <w:rPr>
                <w:rFonts w:ascii="Arial" w:hAnsi="Arial"/>
              </w:rPr>
              <w:t>Permanent</w:t>
            </w:r>
          </w:p>
        </w:tc>
        <w:tc>
          <w:tcPr>
            <w:tcW w:w="2126" w:type="dxa"/>
            <w:shd w:val="clear" w:color="auto" w:fill="D9D9D9" w:themeFill="background1" w:themeFillShade="D9"/>
            <w:vAlign w:val="center"/>
          </w:tcPr>
          <w:p w14:paraId="4540063B" w14:textId="77777777" w:rsidR="00ED0F61" w:rsidRPr="00BB4F9B" w:rsidRDefault="002F6E57" w:rsidP="00F166D5">
            <w:pPr>
              <w:rPr>
                <w:rFonts w:ascii="Arial" w:hAnsi="Arial"/>
                <w:b/>
              </w:rPr>
            </w:pPr>
            <w:r w:rsidRPr="00BB4F9B">
              <w:rPr>
                <w:rFonts w:ascii="Arial" w:hAnsi="Arial"/>
                <w:b/>
              </w:rPr>
              <w:t>Reports to:</w:t>
            </w:r>
          </w:p>
        </w:tc>
        <w:tc>
          <w:tcPr>
            <w:tcW w:w="2938" w:type="dxa"/>
            <w:shd w:val="clear" w:color="auto" w:fill="auto"/>
            <w:vAlign w:val="center"/>
          </w:tcPr>
          <w:p w14:paraId="443BF048" w14:textId="77777777" w:rsidR="00F3375D" w:rsidRPr="001C4D5D" w:rsidRDefault="00AE212A" w:rsidP="00FE042C">
            <w:pPr>
              <w:rPr>
                <w:rFonts w:ascii="Arial" w:hAnsi="Arial"/>
                <w:color w:val="FF0000"/>
                <w:highlight w:val="yellow"/>
              </w:rPr>
            </w:pPr>
            <w:r w:rsidRPr="00164BFB">
              <w:rPr>
                <w:rFonts w:ascii="Arial" w:hAnsi="Arial"/>
              </w:rPr>
              <w:t>Executive Director of Higher Education and Skills</w:t>
            </w:r>
            <w:r w:rsidR="001C4D5D" w:rsidRPr="00164BFB">
              <w:rPr>
                <w:rFonts w:ascii="Arial" w:hAnsi="Arial"/>
              </w:rPr>
              <w:t xml:space="preserve"> </w:t>
            </w:r>
          </w:p>
        </w:tc>
      </w:tr>
      <w:tr w:rsidR="00ED0F61" w:rsidRPr="00BB4F9B" w14:paraId="54A66DB1" w14:textId="77777777" w:rsidTr="002F6E57">
        <w:trPr>
          <w:trHeight w:val="593"/>
        </w:trPr>
        <w:tc>
          <w:tcPr>
            <w:tcW w:w="2578" w:type="dxa"/>
            <w:shd w:val="clear" w:color="auto" w:fill="D9D9D9" w:themeFill="background1" w:themeFillShade="D9"/>
            <w:vAlign w:val="center"/>
          </w:tcPr>
          <w:p w14:paraId="58576E04" w14:textId="77777777" w:rsidR="00ED0F61" w:rsidRPr="00BB4F9B" w:rsidRDefault="002E6E1E" w:rsidP="00F166D5">
            <w:pPr>
              <w:rPr>
                <w:rFonts w:ascii="Arial" w:hAnsi="Arial"/>
                <w:b/>
              </w:rPr>
            </w:pPr>
            <w:r w:rsidRPr="00BB4F9B">
              <w:rPr>
                <w:rFonts w:ascii="Arial" w:hAnsi="Arial"/>
                <w:b/>
              </w:rPr>
              <w:t>Scale</w:t>
            </w:r>
            <w:r w:rsidR="00DC13AF" w:rsidRPr="00BB4F9B">
              <w:rPr>
                <w:rFonts w:ascii="Arial" w:hAnsi="Arial"/>
                <w:b/>
              </w:rPr>
              <w:t xml:space="preserve"> &amp; Spine Points</w:t>
            </w:r>
            <w:r w:rsidR="00FE042C" w:rsidRPr="00BB4F9B">
              <w:rPr>
                <w:rFonts w:ascii="Arial" w:hAnsi="Arial"/>
                <w:b/>
              </w:rPr>
              <w:t>:</w:t>
            </w:r>
          </w:p>
        </w:tc>
        <w:tc>
          <w:tcPr>
            <w:tcW w:w="2686" w:type="dxa"/>
            <w:vAlign w:val="center"/>
          </w:tcPr>
          <w:p w14:paraId="2D2465FF" w14:textId="6405453A" w:rsidR="00ED0F61" w:rsidRPr="00BB4F9B" w:rsidRDefault="00D05FDD" w:rsidP="00F166D5">
            <w:pPr>
              <w:rPr>
                <w:rFonts w:ascii="Arial" w:hAnsi="Arial"/>
              </w:rPr>
            </w:pPr>
            <w:r>
              <w:rPr>
                <w:rFonts w:ascii="Arial" w:hAnsi="Arial"/>
              </w:rPr>
              <w:t>Professional Services</w:t>
            </w:r>
          </w:p>
        </w:tc>
        <w:tc>
          <w:tcPr>
            <w:tcW w:w="2126" w:type="dxa"/>
            <w:shd w:val="clear" w:color="auto" w:fill="D9D9D9" w:themeFill="background1" w:themeFillShade="D9"/>
            <w:vAlign w:val="center"/>
          </w:tcPr>
          <w:p w14:paraId="6869B99B" w14:textId="77777777" w:rsidR="00ED0F61" w:rsidRPr="00BB4F9B" w:rsidRDefault="00473090" w:rsidP="00F166D5">
            <w:pPr>
              <w:rPr>
                <w:rFonts w:ascii="Arial" w:hAnsi="Arial"/>
                <w:b/>
              </w:rPr>
            </w:pPr>
            <w:r w:rsidRPr="00BB4F9B">
              <w:rPr>
                <w:rFonts w:ascii="Arial" w:hAnsi="Arial"/>
                <w:b/>
              </w:rPr>
              <w:t>Location:</w:t>
            </w:r>
          </w:p>
        </w:tc>
        <w:tc>
          <w:tcPr>
            <w:tcW w:w="2938" w:type="dxa"/>
          </w:tcPr>
          <w:p w14:paraId="3B026492" w14:textId="77777777" w:rsidR="00AA6311" w:rsidRPr="00BB4F9B" w:rsidRDefault="00AA6311" w:rsidP="00F166D5">
            <w:pPr>
              <w:rPr>
                <w:rFonts w:ascii="Arial" w:hAnsi="Arial"/>
              </w:rPr>
            </w:pPr>
          </w:p>
          <w:p w14:paraId="65D91924" w14:textId="77777777" w:rsidR="00ED0F61" w:rsidRPr="00BB4F9B" w:rsidRDefault="00423A84" w:rsidP="00F166D5">
            <w:pPr>
              <w:rPr>
                <w:rFonts w:ascii="Arial" w:hAnsi="Arial"/>
              </w:rPr>
            </w:pPr>
            <w:r>
              <w:rPr>
                <w:rFonts w:ascii="Arial" w:hAnsi="Arial"/>
              </w:rPr>
              <w:t>Poole College</w:t>
            </w:r>
          </w:p>
        </w:tc>
      </w:tr>
    </w:tbl>
    <w:p w14:paraId="0FCB038F" w14:textId="77777777" w:rsidR="00ED0F61" w:rsidRPr="00BB4F9B" w:rsidRDefault="00ED0F61" w:rsidP="00ED0F61">
      <w:pPr>
        <w:pBdr>
          <w:bottom w:val="single" w:sz="12" w:space="1" w:color="auto"/>
        </w:pBdr>
        <w:jc w:val="right"/>
        <w:rPr>
          <w:rFonts w:ascii="Arial" w:hAnsi="Arial" w:cs="Arial"/>
        </w:rPr>
      </w:pPr>
    </w:p>
    <w:p w14:paraId="7A5439C5" w14:textId="77777777" w:rsidR="00ED0F61" w:rsidRPr="00BB4F9B" w:rsidRDefault="00ED0F61" w:rsidP="00ED0F61">
      <w:pPr>
        <w:rPr>
          <w:rFonts w:ascii="Arial" w:hAnsi="Arial" w:cs="Arial"/>
          <w:b/>
          <w:lang w:val="en-US"/>
        </w:rPr>
      </w:pPr>
      <w:r w:rsidRPr="00BB4F9B">
        <w:rPr>
          <w:rFonts w:ascii="Arial" w:hAnsi="Arial" w:cs="Arial"/>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BB4F9B" w14:paraId="0AE3C57E" w14:textId="77777777" w:rsidTr="003A3867">
        <w:trPr>
          <w:trHeight w:val="400"/>
        </w:trPr>
        <w:tc>
          <w:tcPr>
            <w:tcW w:w="10475" w:type="dxa"/>
            <w:shd w:val="clear" w:color="auto" w:fill="D9D9D9" w:themeFill="background1" w:themeFillShade="D9"/>
          </w:tcPr>
          <w:p w14:paraId="0C393CF2" w14:textId="77777777" w:rsidR="003A3867" w:rsidRPr="00BB4F9B" w:rsidRDefault="003A3867" w:rsidP="00A6449B">
            <w:pPr>
              <w:spacing w:after="200" w:line="276" w:lineRule="auto"/>
              <w:rPr>
                <w:rFonts w:ascii="Arial" w:hAnsi="Arial"/>
                <w:b/>
              </w:rPr>
            </w:pPr>
            <w:r w:rsidRPr="00BB4F9B">
              <w:rPr>
                <w:rFonts w:ascii="Arial" w:hAnsi="Arial"/>
                <w:b/>
              </w:rPr>
              <w:t>College and Department Overview</w:t>
            </w:r>
          </w:p>
        </w:tc>
      </w:tr>
      <w:tr w:rsidR="003A3867" w:rsidRPr="00BB4F9B" w14:paraId="281228A8" w14:textId="77777777" w:rsidTr="003A3867">
        <w:trPr>
          <w:trHeight w:val="1338"/>
        </w:trPr>
        <w:tc>
          <w:tcPr>
            <w:tcW w:w="10475" w:type="dxa"/>
          </w:tcPr>
          <w:p w14:paraId="5F1C2161" w14:textId="77777777" w:rsidR="003A3867" w:rsidRPr="00BB4F9B" w:rsidRDefault="003A3867" w:rsidP="00280239">
            <w:pPr>
              <w:pStyle w:val="Default"/>
              <w:rPr>
                <w:color w:val="auto"/>
                <w:sz w:val="22"/>
                <w:szCs w:val="22"/>
              </w:rPr>
            </w:pPr>
            <w:r w:rsidRPr="00BB4F9B">
              <w:rPr>
                <w:color w:val="auto"/>
                <w:sz w:val="22"/>
                <w:szCs w:val="22"/>
              </w:rPr>
              <w:t xml:space="preserve">Bournemouth &amp; Poole College (BPC) is the largest </w:t>
            </w:r>
            <w:r w:rsidR="006831EA" w:rsidRPr="00BB4F9B">
              <w:rPr>
                <w:color w:val="auto"/>
                <w:sz w:val="22"/>
                <w:szCs w:val="22"/>
              </w:rPr>
              <w:t xml:space="preserve">provider of </w:t>
            </w:r>
            <w:r w:rsidR="00423A84" w:rsidRPr="00BB4F9B">
              <w:rPr>
                <w:color w:val="auto"/>
                <w:sz w:val="22"/>
                <w:szCs w:val="22"/>
              </w:rPr>
              <w:t xml:space="preserve">further education and apprenticeships </w:t>
            </w:r>
            <w:r w:rsidR="006831EA" w:rsidRPr="00BB4F9B">
              <w:rPr>
                <w:color w:val="auto"/>
                <w:sz w:val="22"/>
                <w:szCs w:val="22"/>
              </w:rPr>
              <w:t>in the area.</w:t>
            </w:r>
            <w:r w:rsidRPr="00BB4F9B">
              <w:rPr>
                <w:color w:val="auto"/>
                <w:sz w:val="22"/>
                <w:szCs w:val="22"/>
              </w:rPr>
              <w:t xml:space="preserve">  The </w:t>
            </w:r>
            <w:r w:rsidR="003F5B0D">
              <w:rPr>
                <w:color w:val="auto"/>
                <w:sz w:val="22"/>
                <w:szCs w:val="22"/>
              </w:rPr>
              <w:t>c</w:t>
            </w:r>
            <w:r w:rsidRPr="00BB4F9B">
              <w:rPr>
                <w:color w:val="auto"/>
                <w:sz w:val="22"/>
                <w:szCs w:val="22"/>
              </w:rPr>
              <w:t xml:space="preserve">ollege prides itself on offering students a friendly and supportive environment in order that they develop work skills.  The </w:t>
            </w:r>
            <w:r w:rsidR="003F5B0D">
              <w:rPr>
                <w:color w:val="auto"/>
                <w:sz w:val="22"/>
                <w:szCs w:val="22"/>
              </w:rPr>
              <w:t>c</w:t>
            </w:r>
            <w:r w:rsidRPr="00BB4F9B">
              <w:rPr>
                <w:color w:val="auto"/>
                <w:sz w:val="22"/>
                <w:szCs w:val="22"/>
              </w:rPr>
              <w:t>ollege values are:</w:t>
            </w:r>
          </w:p>
          <w:p w14:paraId="55395F54" w14:textId="77777777" w:rsidR="003A3867" w:rsidRPr="00BB4F9B" w:rsidRDefault="003A3867" w:rsidP="00280239">
            <w:pPr>
              <w:pStyle w:val="ListParagraph"/>
              <w:numPr>
                <w:ilvl w:val="0"/>
                <w:numId w:val="27"/>
              </w:numPr>
              <w:shd w:val="clear" w:color="auto" w:fill="FFFFFF"/>
              <w:rPr>
                <w:rFonts w:ascii="Arial" w:hAnsi="Arial"/>
              </w:rPr>
            </w:pPr>
            <w:r w:rsidRPr="00BB4F9B">
              <w:rPr>
                <w:rFonts w:ascii="Arial" w:hAnsi="Arial"/>
              </w:rPr>
              <w:t>A passion for learning and success</w:t>
            </w:r>
          </w:p>
          <w:p w14:paraId="150AF23C" w14:textId="77777777" w:rsidR="003A3867" w:rsidRPr="00BB4F9B" w:rsidRDefault="003A3867" w:rsidP="00280239">
            <w:pPr>
              <w:numPr>
                <w:ilvl w:val="0"/>
                <w:numId w:val="27"/>
              </w:numPr>
              <w:shd w:val="clear" w:color="auto" w:fill="FFFFFF"/>
              <w:rPr>
                <w:rFonts w:ascii="Arial" w:hAnsi="Arial"/>
              </w:rPr>
            </w:pPr>
            <w:r w:rsidRPr="00BB4F9B">
              <w:rPr>
                <w:rFonts w:ascii="Arial" w:hAnsi="Arial"/>
              </w:rPr>
              <w:t>Supportive and caring</w:t>
            </w:r>
          </w:p>
          <w:p w14:paraId="5FFB9DAB" w14:textId="77777777" w:rsidR="003A3867" w:rsidRPr="00BB4F9B" w:rsidRDefault="003A3867" w:rsidP="00280239">
            <w:pPr>
              <w:numPr>
                <w:ilvl w:val="0"/>
                <w:numId w:val="27"/>
              </w:numPr>
              <w:shd w:val="clear" w:color="auto" w:fill="FFFFFF"/>
              <w:rPr>
                <w:rFonts w:ascii="Arial" w:hAnsi="Arial"/>
              </w:rPr>
            </w:pPr>
            <w:r w:rsidRPr="00BB4F9B">
              <w:rPr>
                <w:rFonts w:ascii="Arial" w:hAnsi="Arial"/>
              </w:rPr>
              <w:t>Respectful and considerate</w:t>
            </w:r>
          </w:p>
          <w:p w14:paraId="52DC99F6" w14:textId="77777777" w:rsidR="003A3867" w:rsidRPr="00BB4F9B" w:rsidRDefault="003A3867" w:rsidP="00280239">
            <w:pPr>
              <w:numPr>
                <w:ilvl w:val="0"/>
                <w:numId w:val="27"/>
              </w:numPr>
              <w:shd w:val="clear" w:color="auto" w:fill="FFFFFF"/>
              <w:rPr>
                <w:rFonts w:ascii="Arial" w:hAnsi="Arial"/>
              </w:rPr>
            </w:pPr>
            <w:r w:rsidRPr="00BB4F9B">
              <w:rPr>
                <w:rFonts w:ascii="Arial" w:hAnsi="Arial"/>
              </w:rPr>
              <w:t>A champion for equality through learning</w:t>
            </w:r>
          </w:p>
          <w:p w14:paraId="740B6155" w14:textId="77777777" w:rsidR="003A3867" w:rsidRPr="00BB4F9B" w:rsidRDefault="003A3867" w:rsidP="00280239">
            <w:pPr>
              <w:numPr>
                <w:ilvl w:val="0"/>
                <w:numId w:val="27"/>
              </w:numPr>
              <w:shd w:val="clear" w:color="auto" w:fill="FFFFFF"/>
              <w:rPr>
                <w:rFonts w:ascii="Arial" w:hAnsi="Arial"/>
              </w:rPr>
            </w:pPr>
            <w:r w:rsidRPr="00BB4F9B">
              <w:rPr>
                <w:rFonts w:ascii="Arial" w:hAnsi="Arial"/>
              </w:rPr>
              <w:t>Ambitious and tenacious</w:t>
            </w:r>
          </w:p>
          <w:p w14:paraId="73A1FA74" w14:textId="77777777" w:rsidR="001C1839" w:rsidRPr="00BB4F9B" w:rsidRDefault="001C1839" w:rsidP="001C1839">
            <w:pPr>
              <w:shd w:val="clear" w:color="auto" w:fill="FFFFFF"/>
              <w:ind w:left="720"/>
              <w:rPr>
                <w:rFonts w:ascii="Arial" w:hAnsi="Arial"/>
              </w:rPr>
            </w:pPr>
          </w:p>
        </w:tc>
      </w:tr>
      <w:tr w:rsidR="003A3867" w:rsidRPr="00BB4F9B" w14:paraId="4F86F6E5" w14:textId="77777777" w:rsidTr="00C4267E">
        <w:trPr>
          <w:trHeight w:val="221"/>
        </w:trPr>
        <w:tc>
          <w:tcPr>
            <w:tcW w:w="10475" w:type="dxa"/>
            <w:shd w:val="clear" w:color="auto" w:fill="D9D9D9" w:themeFill="background1" w:themeFillShade="D9"/>
          </w:tcPr>
          <w:p w14:paraId="5BAE79E4" w14:textId="77777777" w:rsidR="003A3867" w:rsidRPr="00BB4F9B" w:rsidRDefault="003A3867" w:rsidP="00280239">
            <w:pPr>
              <w:pStyle w:val="Default"/>
              <w:rPr>
                <w:b/>
                <w:color w:val="auto"/>
                <w:sz w:val="22"/>
                <w:szCs w:val="22"/>
              </w:rPr>
            </w:pPr>
            <w:r w:rsidRPr="00BB4F9B">
              <w:rPr>
                <w:b/>
                <w:color w:val="auto"/>
                <w:sz w:val="22"/>
                <w:szCs w:val="22"/>
              </w:rPr>
              <w:t>Department Overview</w:t>
            </w:r>
          </w:p>
        </w:tc>
      </w:tr>
      <w:tr w:rsidR="003A3867" w:rsidRPr="00BB4F9B" w14:paraId="70B9FD1D" w14:textId="77777777" w:rsidTr="003A3867">
        <w:trPr>
          <w:trHeight w:val="1338"/>
        </w:trPr>
        <w:tc>
          <w:tcPr>
            <w:tcW w:w="10475" w:type="dxa"/>
          </w:tcPr>
          <w:p w14:paraId="07BA8B95" w14:textId="77777777" w:rsidR="005845B0" w:rsidRPr="00BB4F9B" w:rsidRDefault="005845B0" w:rsidP="005845B0">
            <w:pPr>
              <w:pStyle w:val="Default"/>
              <w:rPr>
                <w:color w:val="auto"/>
                <w:sz w:val="22"/>
                <w:szCs w:val="22"/>
              </w:rPr>
            </w:pPr>
          </w:p>
          <w:p w14:paraId="1A89852F" w14:textId="77777777" w:rsidR="00AE212A" w:rsidRDefault="00AE212A" w:rsidP="005845B0">
            <w:pPr>
              <w:pStyle w:val="Default"/>
              <w:rPr>
                <w:color w:val="auto"/>
                <w:sz w:val="22"/>
                <w:szCs w:val="22"/>
              </w:rPr>
            </w:pPr>
            <w:r>
              <w:rPr>
                <w:color w:val="auto"/>
                <w:sz w:val="22"/>
                <w:szCs w:val="22"/>
              </w:rPr>
              <w:t xml:space="preserve">The </w:t>
            </w:r>
            <w:r w:rsidR="00423A84">
              <w:rPr>
                <w:color w:val="auto"/>
                <w:sz w:val="22"/>
                <w:szCs w:val="22"/>
              </w:rPr>
              <w:t>Higher Education (</w:t>
            </w:r>
            <w:r>
              <w:rPr>
                <w:color w:val="auto"/>
                <w:sz w:val="22"/>
                <w:szCs w:val="22"/>
              </w:rPr>
              <w:t>HE</w:t>
            </w:r>
            <w:r w:rsidR="00423A84">
              <w:rPr>
                <w:color w:val="auto"/>
                <w:sz w:val="22"/>
                <w:szCs w:val="22"/>
              </w:rPr>
              <w:t>)</w:t>
            </w:r>
            <w:r>
              <w:rPr>
                <w:color w:val="auto"/>
                <w:sz w:val="22"/>
                <w:szCs w:val="22"/>
              </w:rPr>
              <w:t xml:space="preserve"> and Skills area has cross-college responsibility for</w:t>
            </w:r>
            <w:r w:rsidR="00423A84">
              <w:rPr>
                <w:color w:val="auto"/>
                <w:sz w:val="22"/>
                <w:szCs w:val="22"/>
              </w:rPr>
              <w:t xml:space="preserve"> HE, adult education </w:t>
            </w:r>
            <w:r w:rsidR="00E65A87">
              <w:rPr>
                <w:color w:val="auto"/>
                <w:sz w:val="22"/>
                <w:szCs w:val="22"/>
              </w:rPr>
              <w:t xml:space="preserve">and </w:t>
            </w:r>
            <w:r w:rsidR="00423A84">
              <w:rPr>
                <w:color w:val="auto"/>
                <w:sz w:val="22"/>
                <w:szCs w:val="22"/>
              </w:rPr>
              <w:t>apprenticeships</w:t>
            </w:r>
            <w:r w:rsidR="00E65A87">
              <w:rPr>
                <w:color w:val="auto"/>
                <w:sz w:val="22"/>
                <w:szCs w:val="22"/>
              </w:rPr>
              <w:t xml:space="preserve">. </w:t>
            </w:r>
          </w:p>
          <w:p w14:paraId="28C71C70" w14:textId="77777777" w:rsidR="00E65A87" w:rsidRDefault="00E65A87" w:rsidP="005845B0">
            <w:pPr>
              <w:pStyle w:val="Default"/>
              <w:rPr>
                <w:color w:val="auto"/>
                <w:sz w:val="22"/>
                <w:szCs w:val="22"/>
              </w:rPr>
            </w:pPr>
          </w:p>
          <w:p w14:paraId="799ACFA6" w14:textId="77777777" w:rsidR="00C00E00" w:rsidRDefault="00E65A87" w:rsidP="005845B0">
            <w:pPr>
              <w:pStyle w:val="Default"/>
              <w:rPr>
                <w:color w:val="auto"/>
                <w:sz w:val="22"/>
                <w:szCs w:val="22"/>
              </w:rPr>
            </w:pPr>
            <w:r>
              <w:rPr>
                <w:color w:val="auto"/>
                <w:sz w:val="22"/>
                <w:szCs w:val="22"/>
              </w:rPr>
              <w:t xml:space="preserve">The </w:t>
            </w:r>
            <w:r w:rsidR="00423A84">
              <w:rPr>
                <w:color w:val="auto"/>
                <w:sz w:val="22"/>
                <w:szCs w:val="22"/>
              </w:rPr>
              <w:t xml:space="preserve">College currently has approximately </w:t>
            </w:r>
            <w:r w:rsidR="00FE1841">
              <w:rPr>
                <w:color w:val="auto"/>
                <w:sz w:val="22"/>
                <w:szCs w:val="22"/>
              </w:rPr>
              <w:t>46</w:t>
            </w:r>
            <w:r w:rsidR="00C00E00">
              <w:rPr>
                <w:color w:val="auto"/>
                <w:sz w:val="22"/>
                <w:szCs w:val="22"/>
              </w:rPr>
              <w:t xml:space="preserve">0 HE students across a range of degree and Higher National </w:t>
            </w:r>
            <w:proofErr w:type="spellStart"/>
            <w:r w:rsidR="00C00E00">
              <w:rPr>
                <w:color w:val="auto"/>
                <w:sz w:val="22"/>
                <w:szCs w:val="22"/>
              </w:rPr>
              <w:t>programmes</w:t>
            </w:r>
            <w:proofErr w:type="spellEnd"/>
            <w:r w:rsidR="00C00E00">
              <w:rPr>
                <w:color w:val="auto"/>
                <w:sz w:val="22"/>
                <w:szCs w:val="22"/>
              </w:rPr>
              <w:t xml:space="preserve">, apprenticeships and other level 4+ courses.  Provision is delivered in conjunction with three universities, Pearson, City &amp; Guilds and a range of other awarding </w:t>
            </w:r>
            <w:proofErr w:type="spellStart"/>
            <w:r w:rsidR="00C00E00">
              <w:rPr>
                <w:color w:val="auto"/>
                <w:sz w:val="22"/>
                <w:szCs w:val="22"/>
              </w:rPr>
              <w:t>organisations</w:t>
            </w:r>
            <w:proofErr w:type="spellEnd"/>
            <w:r w:rsidR="00C00E00">
              <w:rPr>
                <w:color w:val="auto"/>
                <w:sz w:val="22"/>
                <w:szCs w:val="22"/>
              </w:rPr>
              <w:t xml:space="preserve">. </w:t>
            </w:r>
          </w:p>
          <w:p w14:paraId="431D00C6" w14:textId="77777777" w:rsidR="00C00E00" w:rsidRDefault="00C00E00" w:rsidP="005845B0">
            <w:pPr>
              <w:pStyle w:val="Default"/>
              <w:rPr>
                <w:color w:val="auto"/>
                <w:sz w:val="22"/>
                <w:szCs w:val="22"/>
              </w:rPr>
            </w:pPr>
          </w:p>
          <w:p w14:paraId="4AB3944E" w14:textId="581483EE" w:rsidR="00C00E00" w:rsidRDefault="00C00E00" w:rsidP="005845B0">
            <w:pPr>
              <w:pStyle w:val="Default"/>
              <w:rPr>
                <w:color w:val="auto"/>
                <w:sz w:val="22"/>
                <w:szCs w:val="22"/>
              </w:rPr>
            </w:pPr>
            <w:r>
              <w:rPr>
                <w:color w:val="auto"/>
                <w:sz w:val="22"/>
                <w:szCs w:val="22"/>
              </w:rPr>
              <w:t>The HE Department is supported by a team of HE Administrators and a</w:t>
            </w:r>
            <w:r w:rsidR="00397476">
              <w:t xml:space="preserve"> </w:t>
            </w:r>
            <w:r w:rsidR="00397476" w:rsidRPr="00397476">
              <w:rPr>
                <w:color w:val="auto"/>
                <w:sz w:val="22"/>
                <w:szCs w:val="22"/>
              </w:rPr>
              <w:t xml:space="preserve">Higher Education manager </w:t>
            </w:r>
            <w:r>
              <w:rPr>
                <w:color w:val="auto"/>
                <w:sz w:val="22"/>
                <w:szCs w:val="22"/>
              </w:rPr>
              <w:t xml:space="preserve">and is headed by the </w:t>
            </w:r>
            <w:r w:rsidRPr="006E117E">
              <w:rPr>
                <w:color w:val="auto"/>
                <w:sz w:val="22"/>
                <w:szCs w:val="22"/>
              </w:rPr>
              <w:t xml:space="preserve">Executive Director HE and Skills.  The HE academic infrastructure includes an HE Quality Committee and HE </w:t>
            </w:r>
            <w:r w:rsidR="00FE1841" w:rsidRPr="006E117E">
              <w:rPr>
                <w:color w:val="auto"/>
                <w:sz w:val="22"/>
                <w:szCs w:val="22"/>
              </w:rPr>
              <w:t xml:space="preserve">Academic </w:t>
            </w:r>
            <w:r w:rsidRPr="006E117E">
              <w:rPr>
                <w:color w:val="auto"/>
                <w:sz w:val="22"/>
                <w:szCs w:val="22"/>
              </w:rPr>
              <w:t>Board</w:t>
            </w:r>
            <w:r w:rsidR="006E117E" w:rsidRPr="00A276E8">
              <w:rPr>
                <w:color w:val="auto"/>
                <w:sz w:val="22"/>
                <w:szCs w:val="22"/>
              </w:rPr>
              <w:t>.</w:t>
            </w:r>
          </w:p>
          <w:p w14:paraId="664D4F26" w14:textId="77777777" w:rsidR="00C00E00" w:rsidRDefault="00C00E00" w:rsidP="005845B0">
            <w:pPr>
              <w:pStyle w:val="Default"/>
              <w:rPr>
                <w:color w:val="auto"/>
                <w:sz w:val="22"/>
                <w:szCs w:val="22"/>
              </w:rPr>
            </w:pPr>
          </w:p>
          <w:p w14:paraId="3EE24457" w14:textId="77777777" w:rsidR="00AE212A" w:rsidRDefault="00C00E00" w:rsidP="005845B0">
            <w:pPr>
              <w:pStyle w:val="Default"/>
              <w:rPr>
                <w:color w:val="auto"/>
                <w:sz w:val="22"/>
                <w:szCs w:val="22"/>
              </w:rPr>
            </w:pPr>
            <w:r>
              <w:rPr>
                <w:color w:val="auto"/>
                <w:sz w:val="22"/>
                <w:szCs w:val="22"/>
              </w:rPr>
              <w:t xml:space="preserve">The </w:t>
            </w:r>
            <w:r w:rsidR="003F5B0D">
              <w:rPr>
                <w:color w:val="auto"/>
                <w:sz w:val="22"/>
                <w:szCs w:val="22"/>
              </w:rPr>
              <w:t>c</w:t>
            </w:r>
            <w:r w:rsidR="00FE1841">
              <w:rPr>
                <w:color w:val="auto"/>
                <w:sz w:val="22"/>
                <w:szCs w:val="22"/>
              </w:rPr>
              <w:t xml:space="preserve">ollege has a dedicated University Centre at its Poole campus with outstanding teaching and learning facilities. Key </w:t>
            </w:r>
            <w:r>
              <w:rPr>
                <w:color w:val="auto"/>
                <w:sz w:val="22"/>
                <w:szCs w:val="22"/>
              </w:rPr>
              <w:t xml:space="preserve">aims of the </w:t>
            </w:r>
            <w:r w:rsidR="003F5B0D">
              <w:rPr>
                <w:color w:val="auto"/>
                <w:sz w:val="22"/>
                <w:szCs w:val="22"/>
              </w:rPr>
              <w:t>c</w:t>
            </w:r>
            <w:r>
              <w:rPr>
                <w:color w:val="auto"/>
                <w:sz w:val="22"/>
                <w:szCs w:val="22"/>
              </w:rPr>
              <w:t>ollege are to further enhance HE quality and outcomes and grow HE provision including full-time and part-time opportunities, apprenticeships and employer-focused provision.</w:t>
            </w:r>
            <w:r w:rsidR="00C4267E">
              <w:rPr>
                <w:color w:val="auto"/>
                <w:sz w:val="22"/>
                <w:szCs w:val="22"/>
              </w:rPr>
              <w:t xml:space="preserve"> </w:t>
            </w:r>
          </w:p>
          <w:p w14:paraId="096487CA" w14:textId="77777777" w:rsidR="003A3867" w:rsidRPr="00BB4F9B" w:rsidRDefault="003A3867" w:rsidP="002D757A">
            <w:pPr>
              <w:pStyle w:val="Default"/>
            </w:pPr>
          </w:p>
        </w:tc>
      </w:tr>
      <w:tr w:rsidR="003A3867" w:rsidRPr="00BB4F9B" w14:paraId="151DC674" w14:textId="77777777" w:rsidTr="003A3867">
        <w:tc>
          <w:tcPr>
            <w:tcW w:w="10475" w:type="dxa"/>
            <w:shd w:val="clear" w:color="auto" w:fill="D9D9D9" w:themeFill="background1" w:themeFillShade="D9"/>
          </w:tcPr>
          <w:p w14:paraId="2A302C3C" w14:textId="77777777" w:rsidR="003A3867" w:rsidRPr="00BB4F9B" w:rsidRDefault="003A3867" w:rsidP="00C510F1">
            <w:pPr>
              <w:jc w:val="both"/>
              <w:rPr>
                <w:rFonts w:ascii="Arial" w:hAnsi="Arial"/>
                <w:b/>
              </w:rPr>
            </w:pPr>
            <w:r w:rsidRPr="00BB4F9B">
              <w:rPr>
                <w:rFonts w:ascii="Arial" w:hAnsi="Arial"/>
                <w:b/>
              </w:rPr>
              <w:t xml:space="preserve">Purpose of the Role </w:t>
            </w:r>
          </w:p>
        </w:tc>
      </w:tr>
      <w:tr w:rsidR="003A3867" w:rsidRPr="00BB4F9B" w14:paraId="5D209AD4" w14:textId="77777777" w:rsidTr="003A3867">
        <w:tc>
          <w:tcPr>
            <w:tcW w:w="10475" w:type="dxa"/>
            <w:vAlign w:val="center"/>
          </w:tcPr>
          <w:p w14:paraId="3252FCA6" w14:textId="77777777" w:rsidR="003A3867" w:rsidRPr="00BB4F9B" w:rsidRDefault="003A3867" w:rsidP="00F3375D">
            <w:pPr>
              <w:tabs>
                <w:tab w:val="left" w:pos="3240"/>
              </w:tabs>
              <w:jc w:val="both"/>
              <w:rPr>
                <w:rFonts w:ascii="Arial" w:hAnsi="Arial"/>
                <w:b/>
              </w:rPr>
            </w:pPr>
          </w:p>
          <w:p w14:paraId="34B34219" w14:textId="34ACD650" w:rsidR="00F1301D" w:rsidRDefault="00FE1841" w:rsidP="0093370E">
            <w:pPr>
              <w:shd w:val="clear" w:color="auto" w:fill="FFFFFF"/>
              <w:rPr>
                <w:rFonts w:ascii="Arial" w:hAnsi="Arial"/>
              </w:rPr>
            </w:pPr>
            <w:r w:rsidRPr="00FE1841">
              <w:rPr>
                <w:rFonts w:ascii="Arial" w:hAnsi="Arial"/>
              </w:rPr>
              <w:t xml:space="preserve">The </w:t>
            </w:r>
            <w:r w:rsidR="00397476" w:rsidRPr="00397476">
              <w:rPr>
                <w:rFonts w:ascii="Arial" w:hAnsi="Arial"/>
              </w:rPr>
              <w:t xml:space="preserve">Higher Education manager </w:t>
            </w:r>
            <w:r w:rsidRPr="00FE1841">
              <w:rPr>
                <w:rFonts w:ascii="Arial" w:hAnsi="Arial"/>
              </w:rPr>
              <w:t xml:space="preserve">is responsible for overseeing and managing various aspects of </w:t>
            </w:r>
            <w:r>
              <w:rPr>
                <w:rFonts w:ascii="Arial" w:hAnsi="Arial"/>
              </w:rPr>
              <w:t>HE across</w:t>
            </w:r>
            <w:r w:rsidRPr="00FE1841">
              <w:rPr>
                <w:rFonts w:ascii="Arial" w:hAnsi="Arial"/>
              </w:rPr>
              <w:t xml:space="preserve"> </w:t>
            </w:r>
            <w:r w:rsidR="00B23782">
              <w:rPr>
                <w:rFonts w:ascii="Arial" w:hAnsi="Arial"/>
              </w:rPr>
              <w:t>the College</w:t>
            </w:r>
            <w:r>
              <w:rPr>
                <w:rFonts w:ascii="Arial" w:hAnsi="Arial"/>
              </w:rPr>
              <w:t>, working closely with both curriculum and professional services colleagues</w:t>
            </w:r>
            <w:r w:rsidR="00B23782">
              <w:rPr>
                <w:rFonts w:ascii="Arial" w:hAnsi="Arial"/>
              </w:rPr>
              <w:t xml:space="preserve">.  </w:t>
            </w:r>
            <w:r w:rsidR="0093370E" w:rsidRPr="0093370E">
              <w:rPr>
                <w:rFonts w:ascii="Arial" w:hAnsi="Arial"/>
              </w:rPr>
              <w:t>Th</w:t>
            </w:r>
            <w:r w:rsidR="0093370E">
              <w:rPr>
                <w:rFonts w:ascii="Arial" w:hAnsi="Arial"/>
              </w:rPr>
              <w:t>e</w:t>
            </w:r>
            <w:r w:rsidR="0093370E" w:rsidRPr="0093370E">
              <w:rPr>
                <w:rFonts w:ascii="Arial" w:hAnsi="Arial"/>
              </w:rPr>
              <w:t xml:space="preserve"> role focuses on ensuring </w:t>
            </w:r>
            <w:r w:rsidR="0093370E">
              <w:rPr>
                <w:rFonts w:ascii="Arial" w:hAnsi="Arial"/>
              </w:rPr>
              <w:t>regulatory</w:t>
            </w:r>
            <w:r w:rsidR="0093370E" w:rsidRPr="0093370E">
              <w:rPr>
                <w:rFonts w:ascii="Arial" w:hAnsi="Arial"/>
              </w:rPr>
              <w:t xml:space="preserve"> compliance, </w:t>
            </w:r>
            <w:r w:rsidR="0093370E">
              <w:rPr>
                <w:rFonts w:ascii="Arial" w:hAnsi="Arial"/>
              </w:rPr>
              <w:t xml:space="preserve">working closely with partner institutions, </w:t>
            </w:r>
            <w:r w:rsidR="0093370E" w:rsidRPr="0093370E">
              <w:rPr>
                <w:rFonts w:ascii="Arial" w:hAnsi="Arial"/>
              </w:rPr>
              <w:t xml:space="preserve">fostering student engagement </w:t>
            </w:r>
            <w:proofErr w:type="gramStart"/>
            <w:r w:rsidR="0093370E">
              <w:rPr>
                <w:rFonts w:ascii="Arial" w:hAnsi="Arial"/>
              </w:rPr>
              <w:t xml:space="preserve">and </w:t>
            </w:r>
            <w:r w:rsidR="003F5B0D">
              <w:rPr>
                <w:rFonts w:ascii="Arial" w:hAnsi="Arial"/>
              </w:rPr>
              <w:t xml:space="preserve"> </w:t>
            </w:r>
            <w:proofErr w:type="spellStart"/>
            <w:r w:rsidR="003F5B0D">
              <w:rPr>
                <w:rFonts w:ascii="Arial" w:hAnsi="Arial"/>
              </w:rPr>
              <w:t>instil</w:t>
            </w:r>
            <w:proofErr w:type="spellEnd"/>
            <w:proofErr w:type="gramEnd"/>
            <w:r w:rsidR="003F5B0D">
              <w:rPr>
                <w:rFonts w:ascii="Arial" w:hAnsi="Arial"/>
              </w:rPr>
              <w:t xml:space="preserve"> </w:t>
            </w:r>
            <w:r w:rsidR="0093370E">
              <w:rPr>
                <w:rFonts w:ascii="Arial" w:hAnsi="Arial"/>
              </w:rPr>
              <w:t xml:space="preserve">a strong HE ethos across the </w:t>
            </w:r>
            <w:r w:rsidR="003F5B0D">
              <w:rPr>
                <w:rFonts w:ascii="Arial" w:hAnsi="Arial"/>
              </w:rPr>
              <w:t>c</w:t>
            </w:r>
            <w:r w:rsidR="0093370E">
              <w:rPr>
                <w:rFonts w:ascii="Arial" w:hAnsi="Arial"/>
              </w:rPr>
              <w:t>ollege.</w:t>
            </w:r>
          </w:p>
          <w:p w14:paraId="65A67AC0" w14:textId="3EC000BA" w:rsidR="00335C14" w:rsidRDefault="00335C14" w:rsidP="0093370E">
            <w:pPr>
              <w:shd w:val="clear" w:color="auto" w:fill="FFFFFF"/>
              <w:rPr>
                <w:rFonts w:ascii="Arial" w:hAnsi="Arial"/>
              </w:rPr>
            </w:pPr>
          </w:p>
          <w:p w14:paraId="66E8A567" w14:textId="77777777" w:rsidR="00335C14" w:rsidRPr="00F1301D" w:rsidRDefault="00335C14" w:rsidP="0093370E">
            <w:pPr>
              <w:shd w:val="clear" w:color="auto" w:fill="FFFFFF"/>
              <w:rPr>
                <w:rFonts w:ascii="Arial" w:hAnsi="Arial"/>
              </w:rPr>
            </w:pPr>
            <w:bookmarkStart w:id="0" w:name="_GoBack"/>
            <w:bookmarkEnd w:id="0"/>
          </w:p>
          <w:p w14:paraId="5BFB9218" w14:textId="77777777" w:rsidR="003A3867" w:rsidRPr="00BB4F9B" w:rsidRDefault="003A3867" w:rsidP="00F3375D">
            <w:pPr>
              <w:tabs>
                <w:tab w:val="left" w:pos="3240"/>
              </w:tabs>
              <w:jc w:val="both"/>
              <w:rPr>
                <w:rFonts w:ascii="Arial" w:hAnsi="Arial"/>
                <w:b/>
              </w:rPr>
            </w:pPr>
          </w:p>
        </w:tc>
      </w:tr>
      <w:tr w:rsidR="003A3867" w:rsidRPr="00BB4F9B" w14:paraId="311C07FB" w14:textId="77777777" w:rsidTr="003A3867">
        <w:tc>
          <w:tcPr>
            <w:tcW w:w="10475" w:type="dxa"/>
            <w:shd w:val="clear" w:color="auto" w:fill="D9D9D9" w:themeFill="background1" w:themeFillShade="D9"/>
          </w:tcPr>
          <w:p w14:paraId="46E09760" w14:textId="77777777" w:rsidR="003A3867" w:rsidRPr="00BB4F9B" w:rsidRDefault="003A3867" w:rsidP="00C96520">
            <w:pPr>
              <w:jc w:val="both"/>
              <w:rPr>
                <w:rFonts w:ascii="Arial" w:hAnsi="Arial"/>
                <w:b/>
              </w:rPr>
            </w:pPr>
            <w:r w:rsidRPr="00BB4F9B">
              <w:rPr>
                <w:rFonts w:ascii="Arial" w:hAnsi="Arial"/>
                <w:b/>
              </w:rPr>
              <w:lastRenderedPageBreak/>
              <w:t>Key Accountabilities &amp; Duties</w:t>
            </w:r>
          </w:p>
        </w:tc>
      </w:tr>
      <w:tr w:rsidR="00C8169D" w:rsidRPr="00BB4F9B" w14:paraId="7C4ED54F" w14:textId="77777777" w:rsidTr="003A3867">
        <w:tc>
          <w:tcPr>
            <w:tcW w:w="10475" w:type="dxa"/>
          </w:tcPr>
          <w:p w14:paraId="1B6AF450" w14:textId="77777777" w:rsidR="00C8169D" w:rsidRPr="00BB4F9B" w:rsidRDefault="00C8169D" w:rsidP="00C8169D">
            <w:pPr>
              <w:rPr>
                <w:rFonts w:ascii="Arial" w:hAnsi="Arial"/>
                <w:b/>
              </w:rPr>
            </w:pPr>
          </w:p>
          <w:p w14:paraId="712B6984" w14:textId="77777777" w:rsidR="0093370E" w:rsidRPr="0093370E" w:rsidRDefault="0093370E" w:rsidP="00CB43C9">
            <w:pPr>
              <w:pStyle w:val="ListParagraph"/>
              <w:numPr>
                <w:ilvl w:val="0"/>
                <w:numId w:val="5"/>
              </w:numPr>
              <w:rPr>
                <w:rFonts w:ascii="Arial" w:hAnsi="Arial"/>
                <w:color w:val="000000" w:themeColor="text1"/>
                <w:lang w:val="en-GB"/>
              </w:rPr>
            </w:pPr>
            <w:r>
              <w:rPr>
                <w:rFonts w:ascii="Arial" w:hAnsi="Arial"/>
                <w:color w:val="000000" w:themeColor="text1"/>
              </w:rPr>
              <w:t>Work closely with curriculum and quality teams to ensure high-quality delivery of the College’s HE provision</w:t>
            </w:r>
          </w:p>
          <w:p w14:paraId="297BDF98" w14:textId="77777777" w:rsidR="00B23782" w:rsidRPr="00B23782" w:rsidRDefault="0093370E" w:rsidP="00CB43C9">
            <w:pPr>
              <w:pStyle w:val="ListParagraph"/>
              <w:numPr>
                <w:ilvl w:val="0"/>
                <w:numId w:val="5"/>
              </w:numPr>
              <w:rPr>
                <w:rFonts w:ascii="Arial" w:hAnsi="Arial"/>
                <w:color w:val="000000" w:themeColor="text1"/>
                <w:lang w:val="en-GB"/>
              </w:rPr>
            </w:pPr>
            <w:r w:rsidRPr="0093370E">
              <w:rPr>
                <w:rFonts w:ascii="Arial" w:hAnsi="Arial"/>
                <w:color w:val="000000" w:themeColor="text1"/>
              </w:rPr>
              <w:t>Establish and maintain positive relationships with</w:t>
            </w:r>
            <w:r w:rsidR="00B23782">
              <w:rPr>
                <w:rFonts w:ascii="Arial" w:hAnsi="Arial"/>
                <w:color w:val="000000" w:themeColor="text1"/>
              </w:rPr>
              <w:t xml:space="preserve"> partner universities and awarding bodies/</w:t>
            </w:r>
            <w:proofErr w:type="spellStart"/>
            <w:r w:rsidR="00B23782">
              <w:rPr>
                <w:rFonts w:ascii="Arial" w:hAnsi="Arial"/>
                <w:color w:val="000000" w:themeColor="text1"/>
              </w:rPr>
              <w:t>organisations</w:t>
            </w:r>
            <w:proofErr w:type="spellEnd"/>
          </w:p>
          <w:p w14:paraId="103DA0C4" w14:textId="77777777" w:rsidR="00076ED5" w:rsidRPr="00B87125" w:rsidRDefault="00B87125" w:rsidP="00CB43C9">
            <w:pPr>
              <w:pStyle w:val="ListParagraph"/>
              <w:numPr>
                <w:ilvl w:val="0"/>
                <w:numId w:val="5"/>
              </w:numPr>
              <w:rPr>
                <w:rFonts w:ascii="Arial" w:hAnsi="Arial"/>
                <w:color w:val="000000" w:themeColor="text1"/>
                <w:lang w:val="en-GB"/>
              </w:rPr>
            </w:pPr>
            <w:r>
              <w:rPr>
                <w:rFonts w:ascii="Arial" w:hAnsi="Arial"/>
                <w:color w:val="000000" w:themeColor="text1"/>
              </w:rPr>
              <w:t>Support the Chair of th</w:t>
            </w:r>
            <w:r w:rsidR="00076ED5" w:rsidRPr="005C3C54">
              <w:rPr>
                <w:rFonts w:ascii="Arial" w:hAnsi="Arial"/>
                <w:color w:val="000000" w:themeColor="text1"/>
              </w:rPr>
              <w:t>e HE Academic Board</w:t>
            </w:r>
            <w:r>
              <w:rPr>
                <w:rFonts w:ascii="Arial" w:hAnsi="Arial"/>
                <w:color w:val="000000" w:themeColor="text1"/>
              </w:rPr>
              <w:t xml:space="preserve"> through collaborative agenda planning and provision of appropriate papers</w:t>
            </w:r>
          </w:p>
          <w:p w14:paraId="274D2AD0" w14:textId="77777777" w:rsidR="00B87125" w:rsidRPr="00466CDA" w:rsidRDefault="00B87125" w:rsidP="00B87125">
            <w:pPr>
              <w:pStyle w:val="ListParagraph"/>
              <w:numPr>
                <w:ilvl w:val="0"/>
                <w:numId w:val="5"/>
              </w:numPr>
              <w:rPr>
                <w:rFonts w:ascii="Arial" w:hAnsi="Arial"/>
                <w:color w:val="000000" w:themeColor="text1"/>
                <w:lang w:val="en-GB"/>
              </w:rPr>
            </w:pPr>
            <w:r>
              <w:rPr>
                <w:rFonts w:ascii="Arial" w:hAnsi="Arial"/>
                <w:color w:val="000000" w:themeColor="text1"/>
              </w:rPr>
              <w:t xml:space="preserve">Manage the schedule of business of the </w:t>
            </w:r>
            <w:r w:rsidRPr="005C3C54">
              <w:rPr>
                <w:rFonts w:ascii="Arial" w:hAnsi="Arial"/>
                <w:color w:val="000000" w:themeColor="text1"/>
              </w:rPr>
              <w:t xml:space="preserve">HE </w:t>
            </w:r>
            <w:r>
              <w:rPr>
                <w:rFonts w:ascii="Arial" w:hAnsi="Arial"/>
                <w:color w:val="000000" w:themeColor="text1"/>
              </w:rPr>
              <w:t>Quality Committee</w:t>
            </w:r>
            <w:r w:rsidRPr="005C3C54">
              <w:rPr>
                <w:rFonts w:ascii="Arial" w:hAnsi="Arial"/>
                <w:color w:val="000000" w:themeColor="text1"/>
              </w:rPr>
              <w:t xml:space="preserve"> </w:t>
            </w:r>
            <w:r>
              <w:rPr>
                <w:rFonts w:ascii="Arial" w:hAnsi="Arial"/>
                <w:color w:val="000000" w:themeColor="text1"/>
              </w:rPr>
              <w:t>through effective collaboration with Quality and other Professional Services colleagues</w:t>
            </w:r>
          </w:p>
          <w:p w14:paraId="56703C76" w14:textId="77777777" w:rsidR="00152978" w:rsidRPr="00B87125" w:rsidRDefault="00BE1F6C" w:rsidP="00B87125">
            <w:pPr>
              <w:pStyle w:val="ListParagraph"/>
              <w:numPr>
                <w:ilvl w:val="0"/>
                <w:numId w:val="5"/>
              </w:numPr>
              <w:rPr>
                <w:rFonts w:ascii="Arial" w:hAnsi="Arial"/>
                <w:color w:val="000000" w:themeColor="text1"/>
                <w:lang w:val="en-GB"/>
              </w:rPr>
            </w:pPr>
            <w:r>
              <w:rPr>
                <w:rFonts w:ascii="Arial" w:hAnsi="Arial"/>
                <w:color w:val="000000" w:themeColor="text1"/>
              </w:rPr>
              <w:t>W</w:t>
            </w:r>
            <w:r w:rsidR="00152978">
              <w:rPr>
                <w:rFonts w:ascii="Arial" w:hAnsi="Arial"/>
                <w:color w:val="000000" w:themeColor="text1"/>
              </w:rPr>
              <w:t>ork with quality regarding the regulatory compliance and measuring framework for existing provision</w:t>
            </w:r>
          </w:p>
          <w:p w14:paraId="2ACC5EF9" w14:textId="77777777" w:rsidR="00B87125" w:rsidRPr="00B87125" w:rsidRDefault="00B87125" w:rsidP="004245EE">
            <w:pPr>
              <w:pStyle w:val="ListParagraph"/>
              <w:numPr>
                <w:ilvl w:val="0"/>
                <w:numId w:val="5"/>
              </w:numPr>
              <w:rPr>
                <w:rFonts w:ascii="Arial" w:hAnsi="Arial"/>
                <w:color w:val="000000" w:themeColor="text1"/>
                <w:lang w:val="en-GB"/>
              </w:rPr>
            </w:pPr>
            <w:r w:rsidRPr="00B87125">
              <w:rPr>
                <w:rFonts w:ascii="Arial" w:hAnsi="Arial"/>
                <w:color w:val="000000" w:themeColor="text1"/>
                <w:lang w:val="en-GB"/>
              </w:rPr>
              <w:t>Work closely with the Student Inclusion and Support</w:t>
            </w:r>
            <w:r>
              <w:rPr>
                <w:rFonts w:ascii="Arial" w:hAnsi="Arial"/>
                <w:color w:val="000000" w:themeColor="text1"/>
                <w:lang w:val="en-GB"/>
              </w:rPr>
              <w:t xml:space="preserve"> Team to ensure effective HE student engagement </w:t>
            </w:r>
            <w:r w:rsidR="003F5B0D">
              <w:rPr>
                <w:rFonts w:ascii="Arial" w:hAnsi="Arial"/>
                <w:color w:val="000000" w:themeColor="text1"/>
                <w:lang w:val="en-GB"/>
              </w:rPr>
              <w:t xml:space="preserve">and inclusion into the college community </w:t>
            </w:r>
            <w:r>
              <w:rPr>
                <w:rFonts w:ascii="Arial" w:hAnsi="Arial"/>
                <w:color w:val="000000" w:themeColor="text1"/>
                <w:lang w:val="en-GB"/>
              </w:rPr>
              <w:t>including survey planning and implementation</w:t>
            </w:r>
          </w:p>
          <w:p w14:paraId="7D6443B4" w14:textId="77777777" w:rsidR="006A4815" w:rsidRPr="006A4815" w:rsidRDefault="00B87125" w:rsidP="00CB43C9">
            <w:pPr>
              <w:pStyle w:val="ListParagraph"/>
              <w:numPr>
                <w:ilvl w:val="0"/>
                <w:numId w:val="5"/>
              </w:numPr>
              <w:rPr>
                <w:rFonts w:ascii="Arial" w:hAnsi="Arial"/>
                <w:color w:val="000000" w:themeColor="text1"/>
                <w:lang w:val="en-GB"/>
              </w:rPr>
            </w:pPr>
            <w:r>
              <w:rPr>
                <w:rFonts w:ascii="Arial" w:hAnsi="Arial"/>
                <w:color w:val="000000" w:themeColor="text1"/>
              </w:rPr>
              <w:t xml:space="preserve">Provide </w:t>
            </w:r>
            <w:r w:rsidR="006A4815">
              <w:rPr>
                <w:rFonts w:ascii="Arial" w:hAnsi="Arial"/>
                <w:color w:val="000000" w:themeColor="text1"/>
              </w:rPr>
              <w:t xml:space="preserve">advice on the external HE environment though engagement with sector networks and forums including those hosted by </w:t>
            </w:r>
            <w:proofErr w:type="spellStart"/>
            <w:r w:rsidR="006A4815">
              <w:rPr>
                <w:rFonts w:ascii="Arial" w:hAnsi="Arial"/>
                <w:color w:val="000000" w:themeColor="text1"/>
              </w:rPr>
              <w:t>AoC</w:t>
            </w:r>
            <w:proofErr w:type="spellEnd"/>
            <w:r w:rsidR="006A4815">
              <w:rPr>
                <w:rFonts w:ascii="Arial" w:hAnsi="Arial"/>
                <w:color w:val="000000" w:themeColor="text1"/>
              </w:rPr>
              <w:t xml:space="preserve"> and MEG</w:t>
            </w:r>
          </w:p>
          <w:p w14:paraId="0A865B03" w14:textId="77777777" w:rsidR="00CD07B0" w:rsidRPr="005C3C54" w:rsidRDefault="00CD07B0" w:rsidP="00CB43C9">
            <w:pPr>
              <w:pStyle w:val="ListParagraph"/>
              <w:numPr>
                <w:ilvl w:val="0"/>
                <w:numId w:val="5"/>
              </w:numPr>
              <w:rPr>
                <w:rFonts w:ascii="Arial" w:hAnsi="Arial"/>
                <w:color w:val="000000" w:themeColor="text1"/>
                <w:lang w:val="en-GB"/>
              </w:rPr>
            </w:pPr>
            <w:r w:rsidRPr="005C3C54">
              <w:rPr>
                <w:rFonts w:ascii="Arial" w:hAnsi="Arial"/>
                <w:color w:val="000000" w:themeColor="text1"/>
              </w:rPr>
              <w:t>Use LMI and other key data sets to make recommendations for new HE provision</w:t>
            </w:r>
          </w:p>
          <w:p w14:paraId="5F5E3710" w14:textId="77777777" w:rsidR="00CD07B0" w:rsidRPr="005C3C54" w:rsidRDefault="00CD07B0" w:rsidP="00CB43C9">
            <w:pPr>
              <w:pStyle w:val="ListParagraph"/>
              <w:numPr>
                <w:ilvl w:val="0"/>
                <w:numId w:val="5"/>
              </w:numPr>
              <w:rPr>
                <w:rFonts w:ascii="Arial" w:hAnsi="Arial"/>
                <w:color w:val="000000" w:themeColor="text1"/>
                <w:lang w:val="en-GB"/>
              </w:rPr>
            </w:pPr>
            <w:r w:rsidRPr="005C3C54">
              <w:rPr>
                <w:rFonts w:ascii="Arial" w:hAnsi="Arial"/>
                <w:color w:val="000000" w:themeColor="text1"/>
              </w:rPr>
              <w:t>Monitor and forecast HE recruitment, flagging risks to SLT/Exec</w:t>
            </w:r>
          </w:p>
          <w:p w14:paraId="3C734AC3" w14:textId="77777777" w:rsidR="0093370E" w:rsidRPr="005C3C54" w:rsidRDefault="0093370E" w:rsidP="0093370E">
            <w:pPr>
              <w:pStyle w:val="ListParagraph"/>
              <w:numPr>
                <w:ilvl w:val="0"/>
                <w:numId w:val="5"/>
              </w:numPr>
              <w:rPr>
                <w:rFonts w:ascii="Arial" w:hAnsi="Arial"/>
                <w:color w:val="000000" w:themeColor="text1"/>
                <w:lang w:val="en-GB"/>
              </w:rPr>
            </w:pPr>
            <w:r>
              <w:rPr>
                <w:rFonts w:ascii="Arial" w:hAnsi="Arial"/>
                <w:color w:val="000000" w:themeColor="text1"/>
              </w:rPr>
              <w:t>Deliver high quality</w:t>
            </w:r>
            <w:r w:rsidRPr="005C3C54">
              <w:rPr>
                <w:rFonts w:ascii="Arial" w:hAnsi="Arial"/>
                <w:color w:val="000000" w:themeColor="text1"/>
              </w:rPr>
              <w:t xml:space="preserve"> </w:t>
            </w:r>
            <w:r>
              <w:rPr>
                <w:rFonts w:ascii="Arial" w:hAnsi="Arial"/>
                <w:color w:val="000000" w:themeColor="text1"/>
              </w:rPr>
              <w:t>HE</w:t>
            </w:r>
            <w:r w:rsidRPr="005C3C54">
              <w:rPr>
                <w:rFonts w:ascii="Arial" w:hAnsi="Arial"/>
                <w:color w:val="000000" w:themeColor="text1"/>
              </w:rPr>
              <w:t xml:space="preserve"> </w:t>
            </w:r>
            <w:proofErr w:type="gramStart"/>
            <w:r>
              <w:rPr>
                <w:rFonts w:ascii="Arial" w:hAnsi="Arial"/>
                <w:color w:val="000000" w:themeColor="text1"/>
              </w:rPr>
              <w:t>staff</w:t>
            </w:r>
            <w:proofErr w:type="gramEnd"/>
            <w:r>
              <w:rPr>
                <w:rFonts w:ascii="Arial" w:hAnsi="Arial"/>
                <w:color w:val="000000" w:themeColor="text1"/>
              </w:rPr>
              <w:t xml:space="preserve"> development</w:t>
            </w:r>
            <w:r w:rsidRPr="005C3C54">
              <w:rPr>
                <w:rFonts w:ascii="Arial" w:hAnsi="Arial"/>
                <w:color w:val="000000" w:themeColor="text1"/>
              </w:rPr>
              <w:t xml:space="preserve"> </w:t>
            </w:r>
            <w:r>
              <w:rPr>
                <w:rFonts w:ascii="Arial" w:hAnsi="Arial"/>
                <w:color w:val="000000" w:themeColor="text1"/>
              </w:rPr>
              <w:t>opportunities for HE teaching and support staff, in collaboration with internal and external colleagues</w:t>
            </w:r>
          </w:p>
          <w:p w14:paraId="2E07EE89" w14:textId="77777777" w:rsidR="000F46A6" w:rsidRPr="005C3C54" w:rsidRDefault="000D1D29" w:rsidP="00CB43C9">
            <w:pPr>
              <w:pStyle w:val="ListParagraph"/>
              <w:numPr>
                <w:ilvl w:val="0"/>
                <w:numId w:val="5"/>
              </w:numPr>
              <w:rPr>
                <w:rFonts w:ascii="Arial" w:hAnsi="Arial"/>
                <w:color w:val="000000" w:themeColor="text1"/>
                <w:lang w:val="en-GB"/>
              </w:rPr>
            </w:pPr>
            <w:r>
              <w:rPr>
                <w:rFonts w:ascii="Arial" w:hAnsi="Arial"/>
                <w:color w:val="000000" w:themeColor="text1"/>
              </w:rPr>
              <w:t xml:space="preserve">Collaborate effectively </w:t>
            </w:r>
            <w:r w:rsidR="00BA4671">
              <w:rPr>
                <w:rFonts w:ascii="Arial" w:hAnsi="Arial"/>
                <w:color w:val="000000" w:themeColor="text1"/>
              </w:rPr>
              <w:t>with colleagues to produce, implement and monitor</w:t>
            </w:r>
            <w:r w:rsidR="001C4D5D" w:rsidRPr="005C3C54">
              <w:rPr>
                <w:rFonts w:ascii="Arial" w:hAnsi="Arial"/>
                <w:color w:val="000000" w:themeColor="text1"/>
              </w:rPr>
              <w:t xml:space="preserve"> </w:t>
            </w:r>
            <w:r w:rsidR="00834EDA" w:rsidRPr="005C3C54">
              <w:rPr>
                <w:rFonts w:ascii="Arial" w:hAnsi="Arial"/>
                <w:color w:val="000000" w:themeColor="text1"/>
              </w:rPr>
              <w:t xml:space="preserve">external </w:t>
            </w:r>
            <w:r w:rsidR="00BA4671">
              <w:rPr>
                <w:rFonts w:ascii="Arial" w:hAnsi="Arial"/>
                <w:color w:val="000000" w:themeColor="text1"/>
              </w:rPr>
              <w:t>plans and strategies</w:t>
            </w:r>
            <w:r w:rsidR="000F46A6" w:rsidRPr="005C3C54">
              <w:rPr>
                <w:rFonts w:ascii="Arial" w:hAnsi="Arial"/>
                <w:color w:val="000000" w:themeColor="text1"/>
              </w:rPr>
              <w:t xml:space="preserve"> </w:t>
            </w:r>
            <w:r w:rsidR="00834EDA" w:rsidRPr="005C3C54">
              <w:rPr>
                <w:rFonts w:ascii="Arial" w:hAnsi="Arial"/>
                <w:color w:val="000000" w:themeColor="text1"/>
              </w:rPr>
              <w:t>e.g. Access and Participation Plan</w:t>
            </w:r>
          </w:p>
          <w:p w14:paraId="0156D37E" w14:textId="77777777" w:rsidR="00431652" w:rsidRPr="005C3C54" w:rsidRDefault="001C4D5D" w:rsidP="00CB43C9">
            <w:pPr>
              <w:pStyle w:val="ListParagraph"/>
              <w:numPr>
                <w:ilvl w:val="0"/>
                <w:numId w:val="5"/>
              </w:numPr>
              <w:rPr>
                <w:rFonts w:ascii="Arial" w:hAnsi="Arial"/>
                <w:color w:val="000000" w:themeColor="text1"/>
                <w:lang w:val="en-GB"/>
              </w:rPr>
            </w:pPr>
            <w:r w:rsidRPr="005C3C54">
              <w:rPr>
                <w:rFonts w:ascii="Arial" w:hAnsi="Arial"/>
                <w:color w:val="000000" w:themeColor="text1"/>
                <w:lang w:val="en-GB"/>
              </w:rPr>
              <w:t xml:space="preserve">Lead on the </w:t>
            </w:r>
            <w:r w:rsidR="00431652" w:rsidRPr="005C3C54">
              <w:rPr>
                <w:rFonts w:ascii="Arial" w:hAnsi="Arial"/>
                <w:color w:val="000000" w:themeColor="text1"/>
                <w:lang w:val="en-GB"/>
              </w:rPr>
              <w:t xml:space="preserve">implementation </w:t>
            </w:r>
            <w:r w:rsidR="006A4815">
              <w:rPr>
                <w:rFonts w:ascii="Arial" w:hAnsi="Arial"/>
                <w:color w:val="000000" w:themeColor="text1"/>
                <w:lang w:val="en-GB"/>
              </w:rPr>
              <w:t xml:space="preserve">and </w:t>
            </w:r>
            <w:r w:rsidR="006A4815" w:rsidRPr="005C3C54">
              <w:rPr>
                <w:rFonts w:ascii="Arial" w:hAnsi="Arial"/>
                <w:color w:val="000000" w:themeColor="text1"/>
              </w:rPr>
              <w:t xml:space="preserve">compliance </w:t>
            </w:r>
            <w:r w:rsidR="00431652" w:rsidRPr="005C3C54">
              <w:rPr>
                <w:rFonts w:ascii="Arial" w:hAnsi="Arial"/>
                <w:color w:val="000000" w:themeColor="text1"/>
                <w:lang w:val="en-GB"/>
              </w:rPr>
              <w:t>of external requirements</w:t>
            </w:r>
            <w:r w:rsidR="006A4815">
              <w:rPr>
                <w:rFonts w:ascii="Arial" w:hAnsi="Arial"/>
                <w:color w:val="000000" w:themeColor="text1"/>
                <w:lang w:val="en-GB"/>
              </w:rPr>
              <w:t xml:space="preserve">, i.e. </w:t>
            </w:r>
            <w:proofErr w:type="spellStart"/>
            <w:r w:rsidR="006A4815">
              <w:rPr>
                <w:rFonts w:ascii="Arial" w:hAnsi="Arial"/>
                <w:color w:val="000000" w:themeColor="text1"/>
                <w:lang w:val="en-GB"/>
              </w:rPr>
              <w:t>OfS</w:t>
            </w:r>
            <w:proofErr w:type="spellEnd"/>
          </w:p>
          <w:p w14:paraId="7AFC3474" w14:textId="77777777" w:rsidR="00CD07B0" w:rsidRPr="005C3C54" w:rsidRDefault="00CD07B0" w:rsidP="00CB43C9">
            <w:pPr>
              <w:pStyle w:val="ListParagraph"/>
              <w:numPr>
                <w:ilvl w:val="0"/>
                <w:numId w:val="5"/>
              </w:numPr>
              <w:rPr>
                <w:rFonts w:ascii="Arial" w:hAnsi="Arial"/>
                <w:color w:val="000000" w:themeColor="text1"/>
                <w:lang w:val="en-GB"/>
              </w:rPr>
            </w:pPr>
            <w:r w:rsidRPr="005C3C54">
              <w:rPr>
                <w:rFonts w:ascii="Arial" w:hAnsi="Arial"/>
                <w:color w:val="000000" w:themeColor="text1"/>
                <w:lang w:val="en-GB"/>
              </w:rPr>
              <w:t>Contribute to activities assessing the quality of teaching, learning and assessment</w:t>
            </w:r>
          </w:p>
          <w:p w14:paraId="38754260" w14:textId="77777777" w:rsidR="00834EDA" w:rsidRPr="005C3C54" w:rsidRDefault="000D1D29" w:rsidP="00CB43C9">
            <w:pPr>
              <w:pStyle w:val="ListParagraph"/>
              <w:numPr>
                <w:ilvl w:val="0"/>
                <w:numId w:val="5"/>
              </w:numPr>
              <w:rPr>
                <w:rFonts w:ascii="Arial" w:hAnsi="Arial"/>
                <w:color w:val="000000" w:themeColor="text1"/>
                <w:lang w:val="en-GB"/>
              </w:rPr>
            </w:pPr>
            <w:r>
              <w:rPr>
                <w:rFonts w:ascii="Arial" w:hAnsi="Arial"/>
                <w:color w:val="000000" w:themeColor="text1"/>
                <w:lang w:val="en-GB"/>
              </w:rPr>
              <w:t>Undertake</w:t>
            </w:r>
            <w:r w:rsidR="005C3C54" w:rsidRPr="005C3C54">
              <w:rPr>
                <w:rFonts w:ascii="Arial" w:hAnsi="Arial"/>
                <w:color w:val="000000" w:themeColor="text1"/>
                <w:lang w:val="en-GB"/>
              </w:rPr>
              <w:t xml:space="preserve"> an</w:t>
            </w:r>
            <w:r w:rsidR="001C4D5D" w:rsidRPr="005C3C54">
              <w:rPr>
                <w:rFonts w:ascii="Arial" w:hAnsi="Arial"/>
                <w:color w:val="000000" w:themeColor="text1"/>
                <w:lang w:val="en-GB"/>
              </w:rPr>
              <w:t xml:space="preserve"> annual</w:t>
            </w:r>
            <w:r w:rsidR="005C3C54" w:rsidRPr="005C3C54">
              <w:rPr>
                <w:rFonts w:ascii="Arial" w:hAnsi="Arial"/>
                <w:color w:val="000000" w:themeColor="text1"/>
                <w:lang w:val="en-GB"/>
              </w:rPr>
              <w:t xml:space="preserve"> </w:t>
            </w:r>
            <w:r w:rsidR="00B23782">
              <w:rPr>
                <w:rFonts w:ascii="Arial" w:hAnsi="Arial"/>
                <w:color w:val="000000" w:themeColor="text1"/>
                <w:lang w:val="en-GB"/>
              </w:rPr>
              <w:t>HE</w:t>
            </w:r>
            <w:r w:rsidR="00B23782" w:rsidRPr="005C3C54">
              <w:rPr>
                <w:rFonts w:ascii="Arial" w:hAnsi="Arial"/>
                <w:color w:val="000000" w:themeColor="text1"/>
                <w:lang w:val="en-GB"/>
              </w:rPr>
              <w:t xml:space="preserve"> self</w:t>
            </w:r>
            <w:r w:rsidR="00076ED5" w:rsidRPr="005C3C54">
              <w:rPr>
                <w:rFonts w:ascii="Arial" w:hAnsi="Arial"/>
                <w:color w:val="000000" w:themeColor="text1"/>
                <w:lang w:val="en-GB"/>
              </w:rPr>
              <w:t>-</w:t>
            </w:r>
            <w:r w:rsidR="00B23782" w:rsidRPr="005C3C54">
              <w:rPr>
                <w:rFonts w:ascii="Arial" w:hAnsi="Arial"/>
                <w:color w:val="000000" w:themeColor="text1"/>
                <w:lang w:val="en-GB"/>
              </w:rPr>
              <w:t>evaluation</w:t>
            </w:r>
            <w:r>
              <w:rPr>
                <w:rFonts w:ascii="Arial" w:hAnsi="Arial"/>
                <w:color w:val="000000" w:themeColor="text1"/>
                <w:lang w:val="en-GB"/>
              </w:rPr>
              <w:t>, identifying areas for improvement and enhance</w:t>
            </w:r>
            <w:r w:rsidR="002F5A21">
              <w:rPr>
                <w:rFonts w:ascii="Arial" w:hAnsi="Arial"/>
                <w:color w:val="000000" w:themeColor="text1"/>
                <w:lang w:val="en-GB"/>
              </w:rPr>
              <w:t>m</w:t>
            </w:r>
            <w:r>
              <w:rPr>
                <w:rFonts w:ascii="Arial" w:hAnsi="Arial"/>
                <w:color w:val="000000" w:themeColor="text1"/>
                <w:lang w:val="en-GB"/>
              </w:rPr>
              <w:t>ent,</w:t>
            </w:r>
            <w:r w:rsidR="00B23782" w:rsidRPr="005C3C54">
              <w:rPr>
                <w:rFonts w:ascii="Arial" w:hAnsi="Arial"/>
                <w:color w:val="000000" w:themeColor="text1"/>
                <w:lang w:val="en-GB"/>
              </w:rPr>
              <w:t xml:space="preserve"> </w:t>
            </w:r>
            <w:r w:rsidR="00076ED5" w:rsidRPr="005C3C54">
              <w:rPr>
                <w:rFonts w:ascii="Arial" w:hAnsi="Arial"/>
                <w:color w:val="000000" w:themeColor="text1"/>
                <w:lang w:val="en-GB"/>
              </w:rPr>
              <w:t xml:space="preserve">and </w:t>
            </w:r>
            <w:r w:rsidR="005C3C54" w:rsidRPr="005C3C54">
              <w:rPr>
                <w:rFonts w:ascii="Arial" w:hAnsi="Arial"/>
                <w:color w:val="000000" w:themeColor="text1"/>
                <w:lang w:val="en-GB"/>
              </w:rPr>
              <w:t>embed</w:t>
            </w:r>
            <w:r w:rsidR="00076ED5" w:rsidRPr="005C3C54">
              <w:rPr>
                <w:rFonts w:ascii="Arial" w:hAnsi="Arial"/>
                <w:color w:val="000000" w:themeColor="text1"/>
                <w:lang w:val="en-GB"/>
              </w:rPr>
              <w:t xml:space="preserve"> actions into </w:t>
            </w:r>
            <w:r w:rsidR="00B23782">
              <w:rPr>
                <w:rFonts w:ascii="Arial" w:hAnsi="Arial"/>
                <w:color w:val="000000" w:themeColor="text1"/>
                <w:lang w:val="en-GB"/>
              </w:rPr>
              <w:t>appropriate</w:t>
            </w:r>
            <w:r w:rsidR="00076ED5" w:rsidRPr="005C3C54">
              <w:rPr>
                <w:rFonts w:ascii="Arial" w:hAnsi="Arial"/>
                <w:color w:val="000000" w:themeColor="text1"/>
                <w:lang w:val="en-GB"/>
              </w:rPr>
              <w:t xml:space="preserve"> Quality Improvement Plans (QIPs)</w:t>
            </w:r>
          </w:p>
          <w:p w14:paraId="0580220A" w14:textId="77777777" w:rsidR="00076ED5" w:rsidRPr="005C3C54" w:rsidRDefault="00111866" w:rsidP="00CB43C9">
            <w:pPr>
              <w:pStyle w:val="ListParagraph"/>
              <w:numPr>
                <w:ilvl w:val="0"/>
                <w:numId w:val="5"/>
              </w:numPr>
              <w:rPr>
                <w:rFonts w:ascii="Arial" w:hAnsi="Arial"/>
                <w:color w:val="000000" w:themeColor="text1"/>
                <w:lang w:val="en-GB"/>
              </w:rPr>
            </w:pPr>
            <w:r>
              <w:rPr>
                <w:rFonts w:ascii="Arial" w:hAnsi="Arial"/>
                <w:color w:val="000000" w:themeColor="text1"/>
                <w:lang w:val="en-GB"/>
              </w:rPr>
              <w:t>Create and implement</w:t>
            </w:r>
            <w:r w:rsidR="00076ED5" w:rsidRPr="005C3C54">
              <w:rPr>
                <w:rFonts w:ascii="Arial" w:hAnsi="Arial"/>
                <w:color w:val="000000" w:themeColor="text1"/>
                <w:lang w:val="en-GB"/>
              </w:rPr>
              <w:t xml:space="preserve"> </w:t>
            </w:r>
            <w:r w:rsidR="00BB39E4" w:rsidRPr="005C3C54">
              <w:rPr>
                <w:rFonts w:ascii="Arial" w:hAnsi="Arial"/>
                <w:color w:val="000000" w:themeColor="text1"/>
                <w:lang w:val="en-GB"/>
              </w:rPr>
              <w:t xml:space="preserve">the </w:t>
            </w:r>
            <w:r w:rsidR="00076ED5" w:rsidRPr="005C3C54">
              <w:rPr>
                <w:rFonts w:ascii="Arial" w:hAnsi="Arial"/>
                <w:color w:val="000000" w:themeColor="text1"/>
                <w:lang w:val="en-GB"/>
              </w:rPr>
              <w:t xml:space="preserve">annual </w:t>
            </w:r>
            <w:r w:rsidR="00BB39E4" w:rsidRPr="005C3C54">
              <w:rPr>
                <w:rFonts w:ascii="Arial" w:hAnsi="Arial"/>
                <w:color w:val="000000" w:themeColor="text1"/>
                <w:lang w:val="en-GB"/>
              </w:rPr>
              <w:t xml:space="preserve">HE </w:t>
            </w:r>
            <w:r w:rsidR="00076ED5" w:rsidRPr="005C3C54">
              <w:rPr>
                <w:rFonts w:ascii="Arial" w:hAnsi="Arial"/>
                <w:color w:val="000000" w:themeColor="text1"/>
                <w:lang w:val="en-GB"/>
              </w:rPr>
              <w:t>progression plan to ensure maximisation of internal progression</w:t>
            </w:r>
            <w:r w:rsidR="003F5B0D">
              <w:rPr>
                <w:rFonts w:ascii="Arial" w:hAnsi="Arial"/>
                <w:color w:val="000000" w:themeColor="text1"/>
                <w:lang w:val="en-GB"/>
              </w:rPr>
              <w:t xml:space="preserve"> </w:t>
            </w:r>
          </w:p>
          <w:p w14:paraId="1FA67FD9" w14:textId="77777777" w:rsidR="00111866" w:rsidRPr="005C3C54" w:rsidRDefault="00111866" w:rsidP="00111866">
            <w:pPr>
              <w:pStyle w:val="ListParagraph"/>
              <w:numPr>
                <w:ilvl w:val="0"/>
                <w:numId w:val="5"/>
              </w:numPr>
              <w:rPr>
                <w:rFonts w:ascii="Arial" w:hAnsi="Arial"/>
                <w:color w:val="000000" w:themeColor="text1"/>
                <w:lang w:val="en-GB"/>
              </w:rPr>
            </w:pPr>
            <w:r>
              <w:rPr>
                <w:rFonts w:ascii="Arial" w:hAnsi="Arial"/>
                <w:color w:val="000000" w:themeColor="text1"/>
                <w:lang w:val="en-GB"/>
              </w:rPr>
              <w:t>Review, create and/or update policies, guidelines and procedures, as necessary, providing advice to colleagues, where appropriate.</w:t>
            </w:r>
          </w:p>
          <w:p w14:paraId="518373BC" w14:textId="77777777" w:rsidR="00111866" w:rsidRPr="002F5A21" w:rsidRDefault="00111866" w:rsidP="00CB43C9">
            <w:pPr>
              <w:pStyle w:val="ListParagraph"/>
              <w:numPr>
                <w:ilvl w:val="0"/>
                <w:numId w:val="5"/>
              </w:numPr>
              <w:rPr>
                <w:rFonts w:ascii="Arial" w:hAnsi="Arial"/>
                <w:color w:val="000000" w:themeColor="text1"/>
                <w:lang w:val="en-GB"/>
              </w:rPr>
            </w:pPr>
            <w:r>
              <w:rPr>
                <w:rFonts w:ascii="Arial" w:hAnsi="Arial"/>
                <w:color w:val="000000" w:themeColor="text1"/>
                <w:lang w:val="en-GB"/>
              </w:rPr>
              <w:t xml:space="preserve">Report to SLT, College Executive, governors and </w:t>
            </w:r>
            <w:r w:rsidRPr="005C3C54">
              <w:rPr>
                <w:rFonts w:ascii="Arial" w:hAnsi="Arial"/>
                <w:color w:val="000000" w:themeColor="text1"/>
              </w:rPr>
              <w:t>HE Academic Board</w:t>
            </w:r>
            <w:r>
              <w:rPr>
                <w:rFonts w:ascii="Arial" w:hAnsi="Arial"/>
                <w:color w:val="000000" w:themeColor="text1"/>
              </w:rPr>
              <w:t xml:space="preserve"> as required</w:t>
            </w:r>
          </w:p>
          <w:p w14:paraId="3AFBCD36" w14:textId="77777777" w:rsidR="003F5B0D" w:rsidRPr="00466CDA" w:rsidRDefault="003F5B0D" w:rsidP="00CB43C9">
            <w:pPr>
              <w:pStyle w:val="ListParagraph"/>
              <w:numPr>
                <w:ilvl w:val="0"/>
                <w:numId w:val="5"/>
              </w:numPr>
              <w:rPr>
                <w:rFonts w:ascii="Arial" w:hAnsi="Arial"/>
                <w:color w:val="000000" w:themeColor="text1"/>
                <w:lang w:val="en-GB"/>
              </w:rPr>
            </w:pPr>
            <w:r>
              <w:rPr>
                <w:rFonts w:ascii="Arial" w:hAnsi="Arial"/>
                <w:color w:val="000000" w:themeColor="text1"/>
              </w:rPr>
              <w:t xml:space="preserve">Be part of the college leadership team and participate in duty manager and site walks </w:t>
            </w:r>
            <w:proofErr w:type="spellStart"/>
            <w:r>
              <w:rPr>
                <w:rFonts w:ascii="Arial" w:hAnsi="Arial"/>
                <w:color w:val="000000" w:themeColor="text1"/>
              </w:rPr>
              <w:t>rota</w:t>
            </w:r>
            <w:proofErr w:type="spellEnd"/>
            <w:r>
              <w:rPr>
                <w:rFonts w:ascii="Arial" w:hAnsi="Arial"/>
                <w:color w:val="000000" w:themeColor="text1"/>
              </w:rPr>
              <w:t>.</w:t>
            </w:r>
          </w:p>
          <w:p w14:paraId="68FC6941" w14:textId="77777777" w:rsidR="00C8169D" w:rsidRPr="00BB4F9B" w:rsidRDefault="00C8169D" w:rsidP="00C8169D">
            <w:pPr>
              <w:rPr>
                <w:rFonts w:ascii="Arial" w:hAnsi="Arial"/>
                <w:b/>
              </w:rPr>
            </w:pPr>
          </w:p>
          <w:p w14:paraId="365EDE3F" w14:textId="77777777" w:rsidR="00C8169D" w:rsidRPr="00BB4F9B" w:rsidRDefault="00C8169D" w:rsidP="00C8169D">
            <w:pPr>
              <w:rPr>
                <w:rFonts w:ascii="Arial" w:hAnsi="Arial"/>
                <w:b/>
              </w:rPr>
            </w:pPr>
            <w:r w:rsidRPr="00BB4F9B">
              <w:rPr>
                <w:rFonts w:ascii="Arial" w:hAnsi="Arial"/>
                <w:b/>
              </w:rPr>
              <w:t xml:space="preserve">*The above list of duties is not exhaustive and is subject to change. The post holder may be required to undertake other duties within the scope and grading of the post. </w:t>
            </w:r>
          </w:p>
          <w:p w14:paraId="7080E57C" w14:textId="77777777" w:rsidR="00C8169D" w:rsidRPr="00BB4F9B" w:rsidRDefault="00C8169D" w:rsidP="00C8169D">
            <w:pPr>
              <w:rPr>
                <w:rFonts w:ascii="Arial" w:hAnsi="Arial"/>
                <w:b/>
              </w:rPr>
            </w:pPr>
          </w:p>
          <w:p w14:paraId="1BF0B4A5" w14:textId="77777777" w:rsidR="00C8169D" w:rsidRPr="00BB4F9B" w:rsidRDefault="00C8169D" w:rsidP="00C8169D">
            <w:pPr>
              <w:rPr>
                <w:rFonts w:ascii="Arial" w:hAnsi="Arial"/>
                <w:b/>
              </w:rPr>
            </w:pPr>
          </w:p>
        </w:tc>
      </w:tr>
      <w:tr w:rsidR="00C8169D" w14:paraId="5C757B59" w14:textId="77777777" w:rsidTr="003A3867">
        <w:tc>
          <w:tcPr>
            <w:tcW w:w="10475" w:type="dxa"/>
            <w:shd w:val="clear" w:color="auto" w:fill="D9D9D9" w:themeFill="background1" w:themeFillShade="D9"/>
          </w:tcPr>
          <w:p w14:paraId="775A40D1" w14:textId="77777777" w:rsidR="00C8169D" w:rsidRPr="00D86A96" w:rsidRDefault="00C8169D" w:rsidP="00C8169D">
            <w:pPr>
              <w:jc w:val="both"/>
              <w:rPr>
                <w:rFonts w:ascii="Arial" w:hAnsi="Arial"/>
                <w:b/>
              </w:rPr>
            </w:pPr>
            <w:r w:rsidRPr="00C96520">
              <w:rPr>
                <w:b/>
                <w:sz w:val="24"/>
              </w:rPr>
              <w:t>Equal Opportunities</w:t>
            </w:r>
            <w:r w:rsidRPr="00D86A96">
              <w:rPr>
                <w:rFonts w:ascii="Arial" w:hAnsi="Arial"/>
                <w:b/>
              </w:rPr>
              <w:t xml:space="preserve"> </w:t>
            </w:r>
          </w:p>
        </w:tc>
      </w:tr>
      <w:tr w:rsidR="00C8169D" w:rsidRPr="00BB4F9B" w14:paraId="7F7D0A7E" w14:textId="77777777" w:rsidTr="003A3867">
        <w:tc>
          <w:tcPr>
            <w:tcW w:w="10475" w:type="dxa"/>
          </w:tcPr>
          <w:p w14:paraId="2209F50D" w14:textId="77777777" w:rsidR="00C8169D" w:rsidRPr="00BB4F9B" w:rsidRDefault="00C8169D" w:rsidP="00C8169D">
            <w:pPr>
              <w:rPr>
                <w:rFonts w:ascii="Arial" w:hAnsi="Arial"/>
                <w:b/>
                <w:color w:val="FF0000"/>
              </w:rPr>
            </w:pPr>
            <w:r w:rsidRPr="00BB4F9B">
              <w:rPr>
                <w:rFonts w:ascii="Arial" w:hAnsi="Arial"/>
              </w:rPr>
              <w:t xml:space="preserve">The </w:t>
            </w:r>
            <w:r w:rsidR="00152978">
              <w:rPr>
                <w:rFonts w:ascii="Arial" w:hAnsi="Arial"/>
              </w:rPr>
              <w:t>c</w:t>
            </w:r>
            <w:r w:rsidRPr="00BB4F9B">
              <w:rPr>
                <w:rFonts w:ascii="Arial" w:hAnsi="Arial"/>
              </w:rPr>
              <w:t xml:space="preserve">ollege will seek to ensure that all existing and potential employees and students are given equal opportunities for employment and education.  It is committed to the elimination of unlawful or unfair discrimination on the grounds of sex, age, marital status, </w:t>
            </w:r>
            <w:proofErr w:type="spellStart"/>
            <w:r w:rsidRPr="00BB4F9B">
              <w:rPr>
                <w:rFonts w:ascii="Arial" w:hAnsi="Arial"/>
              </w:rPr>
              <w:t>colour</w:t>
            </w:r>
            <w:proofErr w:type="spellEnd"/>
            <w:r w:rsidRPr="00BB4F9B">
              <w:rPr>
                <w:rFonts w:ascii="Arial" w:hAnsi="Arial"/>
              </w:rPr>
              <w:t xml:space="preserve">,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w:t>
            </w:r>
            <w:r w:rsidR="00152978">
              <w:rPr>
                <w:rFonts w:ascii="Arial" w:hAnsi="Arial"/>
              </w:rPr>
              <w:t>c</w:t>
            </w:r>
            <w:r w:rsidRPr="00BB4F9B">
              <w:rPr>
                <w:rFonts w:ascii="Arial" w:hAnsi="Arial"/>
              </w:rPr>
              <w:t>ollege aims to provide an open welcoming and safe environment for all its students, employees and visitors.</w:t>
            </w:r>
            <w:r w:rsidRPr="00BB4F9B">
              <w:rPr>
                <w:rFonts w:ascii="Arial" w:hAnsi="Arial"/>
                <w:color w:val="FF0000"/>
              </w:rPr>
              <w:br/>
            </w:r>
          </w:p>
          <w:p w14:paraId="730AC6E4" w14:textId="77777777" w:rsidR="00C8169D" w:rsidRPr="00BB4F9B" w:rsidRDefault="00C8169D" w:rsidP="00C8169D">
            <w:pPr>
              <w:rPr>
                <w:rFonts w:ascii="Arial" w:hAnsi="Arial"/>
                <w:b/>
                <w:color w:val="FF0000"/>
              </w:rPr>
            </w:pPr>
          </w:p>
        </w:tc>
      </w:tr>
      <w:tr w:rsidR="00C8169D" w:rsidRPr="00BB4F9B" w14:paraId="0E26BD51" w14:textId="77777777" w:rsidTr="003A3867">
        <w:tc>
          <w:tcPr>
            <w:tcW w:w="10475" w:type="dxa"/>
            <w:shd w:val="clear" w:color="auto" w:fill="D9D9D9" w:themeFill="background1" w:themeFillShade="D9"/>
          </w:tcPr>
          <w:p w14:paraId="7B0872BD" w14:textId="77777777" w:rsidR="00C8169D" w:rsidRPr="00BB4F9B" w:rsidRDefault="00C8169D" w:rsidP="00C8169D">
            <w:pPr>
              <w:rPr>
                <w:rFonts w:ascii="Arial" w:hAnsi="Arial"/>
                <w:b/>
              </w:rPr>
            </w:pPr>
            <w:r w:rsidRPr="00BB4F9B">
              <w:rPr>
                <w:rFonts w:ascii="Arial" w:hAnsi="Arial"/>
                <w:b/>
              </w:rPr>
              <w:t>Safeguarding</w:t>
            </w:r>
          </w:p>
        </w:tc>
      </w:tr>
      <w:tr w:rsidR="00C8169D" w:rsidRPr="00BB4F9B" w14:paraId="4CD41332" w14:textId="77777777" w:rsidTr="003A3867">
        <w:tc>
          <w:tcPr>
            <w:tcW w:w="10475" w:type="dxa"/>
          </w:tcPr>
          <w:p w14:paraId="7F397B41" w14:textId="77777777" w:rsidR="00C8169D" w:rsidRPr="00BB4F9B" w:rsidRDefault="00C8169D" w:rsidP="00C8169D">
            <w:pPr>
              <w:rPr>
                <w:rFonts w:ascii="Arial" w:hAnsi="Arial"/>
                <w:b/>
              </w:rPr>
            </w:pPr>
          </w:p>
          <w:p w14:paraId="5B3A5A9B" w14:textId="77777777" w:rsidR="00C8169D" w:rsidRPr="00BB4F9B" w:rsidRDefault="00C8169D" w:rsidP="00C8169D">
            <w:pPr>
              <w:rPr>
                <w:rFonts w:ascii="Arial" w:hAnsi="Arial"/>
              </w:rPr>
            </w:pPr>
            <w:r w:rsidRPr="00BB4F9B">
              <w:rPr>
                <w:rFonts w:ascii="Arial" w:hAnsi="Arial"/>
              </w:rPr>
              <w:t xml:space="preserve">The </w:t>
            </w:r>
            <w:r w:rsidR="00152978">
              <w:rPr>
                <w:rFonts w:ascii="Arial" w:hAnsi="Arial"/>
              </w:rPr>
              <w:t>c</w:t>
            </w:r>
            <w:r w:rsidRPr="00BB4F9B">
              <w:rPr>
                <w:rFonts w:ascii="Arial" w:hAnsi="Arial"/>
              </w:rPr>
              <w:t xml:space="preserve">ollege is committed to safeguarding and promoting the welfare of children, young people and vulnerable adults and expects all staff to share this commitment. </w:t>
            </w:r>
          </w:p>
          <w:p w14:paraId="68B2DF06" w14:textId="77777777" w:rsidR="00C8169D" w:rsidRPr="00BB4F9B" w:rsidRDefault="00C8169D" w:rsidP="00C8169D">
            <w:pPr>
              <w:rPr>
                <w:rFonts w:ascii="Arial" w:hAnsi="Arial"/>
              </w:rPr>
            </w:pPr>
          </w:p>
          <w:p w14:paraId="3122C68B" w14:textId="77777777" w:rsidR="00C8169D" w:rsidRPr="00BB4F9B" w:rsidRDefault="00C8169D" w:rsidP="00C8169D">
            <w:pPr>
              <w:rPr>
                <w:rFonts w:ascii="Arial" w:hAnsi="Arial"/>
              </w:rPr>
            </w:pPr>
            <w:r w:rsidRPr="00BB4F9B">
              <w:rPr>
                <w:rFonts w:ascii="Arial" w:hAnsi="Arial"/>
              </w:rPr>
              <w:t xml:space="preserve">Successful external applicants will be required to undertake appropriate safeguarding checks as well as providing proof of right to live and work in the UK. </w:t>
            </w:r>
          </w:p>
          <w:p w14:paraId="1E27826A" w14:textId="77777777" w:rsidR="00C8169D" w:rsidRPr="00BB4F9B" w:rsidRDefault="00C8169D" w:rsidP="00C8169D">
            <w:pPr>
              <w:rPr>
                <w:rFonts w:ascii="Arial" w:hAnsi="Arial"/>
              </w:rPr>
            </w:pPr>
          </w:p>
          <w:p w14:paraId="6CC2CDA9" w14:textId="77777777" w:rsidR="00C8169D" w:rsidRPr="00BB4F9B" w:rsidRDefault="00C8169D" w:rsidP="00C8169D">
            <w:pPr>
              <w:rPr>
                <w:rFonts w:ascii="Arial" w:hAnsi="Arial"/>
              </w:rPr>
            </w:pPr>
            <w:r w:rsidRPr="00BB4F9B">
              <w:rPr>
                <w:rFonts w:ascii="Arial" w:hAnsi="Arial"/>
              </w:rPr>
              <w:t xml:space="preserve">All successful candidates will be required to provide proof of their qualifications. </w:t>
            </w:r>
          </w:p>
          <w:p w14:paraId="0858AC3B" w14:textId="77777777" w:rsidR="00C8169D" w:rsidRPr="00BB4F9B" w:rsidRDefault="00C8169D" w:rsidP="00C8169D">
            <w:pPr>
              <w:rPr>
                <w:rFonts w:ascii="Arial" w:hAnsi="Arial"/>
                <w:b/>
              </w:rPr>
            </w:pPr>
          </w:p>
        </w:tc>
      </w:tr>
      <w:tr w:rsidR="00C8169D" w:rsidRPr="00BB4F9B" w14:paraId="0B5AD4E3" w14:textId="77777777" w:rsidTr="003A3867">
        <w:tc>
          <w:tcPr>
            <w:tcW w:w="10475" w:type="dxa"/>
            <w:shd w:val="clear" w:color="auto" w:fill="D9D9D9" w:themeFill="background1" w:themeFillShade="D9"/>
          </w:tcPr>
          <w:p w14:paraId="7EF1551A" w14:textId="77777777" w:rsidR="00C8169D" w:rsidRPr="00BB4F9B" w:rsidRDefault="00C8169D" w:rsidP="00C8169D">
            <w:pPr>
              <w:rPr>
                <w:rFonts w:ascii="Arial" w:hAnsi="Arial"/>
                <w:b/>
              </w:rPr>
            </w:pPr>
            <w:r w:rsidRPr="00BB4F9B">
              <w:rPr>
                <w:rFonts w:ascii="Arial" w:hAnsi="Arial"/>
                <w:b/>
              </w:rPr>
              <w:lastRenderedPageBreak/>
              <w:t>Further Information</w:t>
            </w:r>
          </w:p>
        </w:tc>
      </w:tr>
      <w:tr w:rsidR="00C8169D" w:rsidRPr="00BB4F9B" w14:paraId="27222EB6" w14:textId="77777777" w:rsidTr="003A3867">
        <w:tc>
          <w:tcPr>
            <w:tcW w:w="10475" w:type="dxa"/>
          </w:tcPr>
          <w:p w14:paraId="36A5C77B" w14:textId="77777777" w:rsidR="00C8169D" w:rsidRPr="00BB4F9B" w:rsidRDefault="00C8169D" w:rsidP="00C8169D">
            <w:pPr>
              <w:ind w:firstLine="720"/>
              <w:rPr>
                <w:rFonts w:ascii="Arial" w:hAnsi="Arial"/>
                <w:b/>
              </w:rPr>
            </w:pPr>
          </w:p>
          <w:p w14:paraId="10E28A4F" w14:textId="77777777" w:rsidR="00C8169D" w:rsidRPr="00BB4F9B" w:rsidRDefault="00C8169D" w:rsidP="00C8169D">
            <w:pPr>
              <w:rPr>
                <w:rFonts w:ascii="Arial" w:hAnsi="Arial"/>
              </w:rPr>
            </w:pPr>
            <w:r w:rsidRPr="00BB4F9B">
              <w:rPr>
                <w:rFonts w:ascii="Arial" w:hAnsi="Arial"/>
              </w:rPr>
              <w:t xml:space="preserve">This Job Description and Person Specification are current as at </w:t>
            </w:r>
            <w:r w:rsidR="006A4815">
              <w:rPr>
                <w:rFonts w:ascii="Arial" w:hAnsi="Arial"/>
              </w:rPr>
              <w:t>January</w:t>
            </w:r>
            <w:r w:rsidR="008301BA" w:rsidRPr="00BB4F9B">
              <w:rPr>
                <w:rFonts w:ascii="Arial" w:hAnsi="Arial"/>
              </w:rPr>
              <w:t xml:space="preserve"> 202</w:t>
            </w:r>
            <w:r w:rsidR="006A4815">
              <w:rPr>
                <w:rFonts w:ascii="Arial" w:hAnsi="Arial"/>
              </w:rPr>
              <w:t>4</w:t>
            </w:r>
            <w:r w:rsidRPr="00BB4F9B">
              <w:rPr>
                <w:rFonts w:ascii="Arial" w:hAnsi="Arial"/>
                <w:b/>
              </w:rPr>
              <w:t>.</w:t>
            </w:r>
            <w:r w:rsidRPr="00BB4F9B">
              <w:rPr>
                <w:rFonts w:ascii="Arial" w:hAnsi="Arial"/>
              </w:rPr>
              <w:t xml:space="preserve"> In consultation with you it is liable to variation to reflect changes in the job. If you have any queries relating to your Job Description and/or Person Specification, please discuss with your Line Manager. </w:t>
            </w:r>
          </w:p>
          <w:p w14:paraId="5DE0BD42" w14:textId="77777777" w:rsidR="00C8169D" w:rsidRPr="00BB4F9B" w:rsidRDefault="00C8169D" w:rsidP="00C8169D">
            <w:pPr>
              <w:rPr>
                <w:rFonts w:ascii="Arial" w:hAnsi="Arial"/>
              </w:rPr>
            </w:pPr>
          </w:p>
          <w:p w14:paraId="11C96E89" w14:textId="77777777" w:rsidR="00C8169D" w:rsidRPr="00BB4F9B" w:rsidRDefault="00C8169D" w:rsidP="00C8169D">
            <w:pPr>
              <w:rPr>
                <w:rFonts w:ascii="Arial" w:hAnsi="Arial"/>
              </w:rPr>
            </w:pPr>
            <w:r w:rsidRPr="00BB4F9B">
              <w:rPr>
                <w:rFonts w:ascii="Arial" w:hAnsi="Arial"/>
              </w:rPr>
              <w:t>A copy of this Job Description and Person Specification is held with the People Team.</w:t>
            </w:r>
          </w:p>
          <w:p w14:paraId="77A24446" w14:textId="77777777" w:rsidR="00C8169D" w:rsidRPr="00BB4F9B" w:rsidRDefault="00C8169D" w:rsidP="00C8169D">
            <w:pPr>
              <w:rPr>
                <w:rFonts w:ascii="Arial" w:hAnsi="Arial"/>
                <w:b/>
              </w:rPr>
            </w:pPr>
          </w:p>
        </w:tc>
      </w:tr>
    </w:tbl>
    <w:p w14:paraId="6566CA91" w14:textId="77777777" w:rsidR="00ED0F61" w:rsidRPr="00BB4F9B" w:rsidRDefault="00ED0F61" w:rsidP="00ED0F61">
      <w:pPr>
        <w:ind w:left="-142"/>
        <w:rPr>
          <w:rFonts w:ascii="Arial" w:hAnsi="Arial" w:cs="Arial"/>
          <w:b/>
        </w:rPr>
      </w:pPr>
    </w:p>
    <w:p w14:paraId="3375FD56" w14:textId="77777777" w:rsidR="00ED0F61" w:rsidRPr="00BB4F9B" w:rsidRDefault="00ED0F61" w:rsidP="00ED0F61">
      <w:pPr>
        <w:rPr>
          <w:rFonts w:ascii="Arial" w:hAnsi="Arial" w:cs="Arial"/>
          <w:b/>
        </w:rPr>
      </w:pPr>
      <w:r w:rsidRPr="00BB4F9B">
        <w:rPr>
          <w:rFonts w:ascii="Arial" w:hAnsi="Arial" w:cs="Arial"/>
          <w:b/>
        </w:rPr>
        <w:br w:type="page"/>
      </w:r>
    </w:p>
    <w:p w14:paraId="50848BDB" w14:textId="77777777" w:rsidR="00ED0F61" w:rsidRPr="00BB4F9B" w:rsidRDefault="00ED0F61" w:rsidP="00ED0F61">
      <w:pPr>
        <w:ind w:left="-142"/>
        <w:rPr>
          <w:rFonts w:ascii="Arial" w:hAnsi="Arial" w:cs="Arial"/>
          <w:b/>
        </w:rPr>
      </w:pPr>
    </w:p>
    <w:p w14:paraId="07F63292" w14:textId="77777777" w:rsidR="00ED0F61" w:rsidRPr="00BB4F9B" w:rsidRDefault="00F3375D" w:rsidP="00C96520">
      <w:pPr>
        <w:spacing w:after="0" w:line="240" w:lineRule="auto"/>
        <w:rPr>
          <w:rFonts w:ascii="Arial" w:hAnsi="Arial" w:cs="Arial"/>
          <w:b/>
          <w:lang w:val="en-US"/>
        </w:rPr>
      </w:pPr>
      <w:r w:rsidRPr="00BB4F9B">
        <w:rPr>
          <w:rFonts w:ascii="Arial" w:hAnsi="Arial" w:cs="Arial"/>
          <w:b/>
          <w:lang w:val="en-US"/>
        </w:rPr>
        <w:t>P</w:t>
      </w:r>
      <w:r w:rsidR="002F6E57" w:rsidRPr="00BB4F9B">
        <w:rPr>
          <w:rFonts w:ascii="Arial" w:hAnsi="Arial" w:cs="Arial"/>
          <w:b/>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BB4F9B" w14:paraId="0D97A932"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0AFEAEA2" w14:textId="77777777" w:rsidR="00ED0F61" w:rsidRPr="00BB4F9B" w:rsidRDefault="00ED0F61" w:rsidP="00F166D5">
            <w:pPr>
              <w:rPr>
                <w:rFonts w:ascii="Arial" w:hAnsi="Arial"/>
                <w:b/>
              </w:rPr>
            </w:pPr>
            <w:r w:rsidRPr="00BB4F9B">
              <w:rPr>
                <w:rFonts w:ascii="Arial" w:hAnsi="Arial"/>
                <w:b/>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677E3B0A" w14:textId="77777777" w:rsidR="00ED0F61" w:rsidRPr="00BB4F9B" w:rsidRDefault="00ED0F61" w:rsidP="00F166D5">
            <w:pPr>
              <w:jc w:val="center"/>
              <w:rPr>
                <w:rFonts w:ascii="Arial" w:hAnsi="Arial"/>
                <w:b/>
              </w:rPr>
            </w:pPr>
            <w:r w:rsidRPr="00BB4F9B">
              <w:rPr>
                <w:rFonts w:ascii="Arial" w:hAnsi="Arial"/>
                <w:b/>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70ABE5B1" w14:textId="77777777" w:rsidR="00ED0F61" w:rsidRPr="00BB4F9B" w:rsidRDefault="00ED0F61" w:rsidP="00F166D5">
            <w:pPr>
              <w:jc w:val="center"/>
              <w:rPr>
                <w:rFonts w:ascii="Arial" w:hAnsi="Arial"/>
                <w:b/>
              </w:rPr>
            </w:pPr>
            <w:r w:rsidRPr="00BB4F9B">
              <w:rPr>
                <w:rFonts w:ascii="Arial" w:hAnsi="Arial"/>
                <w:b/>
              </w:rPr>
              <w:t>Desirable</w:t>
            </w:r>
          </w:p>
        </w:tc>
      </w:tr>
      <w:tr w:rsidR="00FE042C" w:rsidRPr="00BB4F9B" w14:paraId="71F17065"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E429A3D" w14:textId="77777777" w:rsidR="00ED0F61" w:rsidRPr="00BB4F9B" w:rsidRDefault="00ED0F61" w:rsidP="00F166D5">
            <w:pPr>
              <w:rPr>
                <w:rFonts w:ascii="Arial" w:hAnsi="Arial"/>
                <w:b/>
              </w:rPr>
            </w:pPr>
          </w:p>
          <w:p w14:paraId="2C23DD0B" w14:textId="77777777" w:rsidR="00ED0F61" w:rsidRPr="00BB4F9B" w:rsidRDefault="00ED0F61" w:rsidP="00F166D5">
            <w:pPr>
              <w:rPr>
                <w:rFonts w:ascii="Arial" w:hAnsi="Arial"/>
                <w:b/>
              </w:rPr>
            </w:pPr>
          </w:p>
          <w:p w14:paraId="76E3C263" w14:textId="77777777" w:rsidR="00312597" w:rsidRPr="00BB4F9B" w:rsidRDefault="00312597" w:rsidP="00312597">
            <w:pPr>
              <w:rPr>
                <w:rFonts w:ascii="Arial" w:hAnsi="Arial"/>
                <w:b/>
              </w:rPr>
            </w:pPr>
            <w:r w:rsidRPr="00BB4F9B">
              <w:rPr>
                <w:rFonts w:ascii="Arial" w:hAnsi="Arial"/>
                <w:b/>
              </w:rPr>
              <w:t>Qualifications</w:t>
            </w:r>
            <w:r w:rsidR="00044151" w:rsidRPr="00BB4F9B">
              <w:rPr>
                <w:rFonts w:ascii="Arial" w:hAnsi="Arial"/>
                <w:b/>
              </w:rPr>
              <w:t>:</w:t>
            </w:r>
          </w:p>
          <w:p w14:paraId="1AA5568A" w14:textId="77777777" w:rsidR="00ED0F61" w:rsidRPr="00BB4F9B" w:rsidRDefault="00ED0F61" w:rsidP="00F166D5">
            <w:pPr>
              <w:rPr>
                <w:rFonts w:ascii="Arial" w:hAnsi="Arial"/>
                <w:b/>
              </w:rPr>
            </w:pPr>
          </w:p>
          <w:p w14:paraId="53F5A84D" w14:textId="77777777" w:rsidR="00ED0F61" w:rsidRPr="00BB4F9B" w:rsidRDefault="00ED0F61" w:rsidP="00F166D5">
            <w:pPr>
              <w:rPr>
                <w:rFonts w:ascii="Arial" w:hAnsi="Arial"/>
                <w:b/>
              </w:rPr>
            </w:pPr>
          </w:p>
        </w:tc>
        <w:tc>
          <w:tcPr>
            <w:tcW w:w="4378" w:type="dxa"/>
            <w:tcBorders>
              <w:top w:val="single" w:sz="12" w:space="0" w:color="000000" w:themeColor="text1"/>
              <w:left w:val="single" w:sz="12" w:space="0" w:color="000000" w:themeColor="text1"/>
              <w:bottom w:val="single" w:sz="8" w:space="0" w:color="000000" w:themeColor="text1"/>
            </w:tcBorders>
          </w:tcPr>
          <w:p w14:paraId="12466658" w14:textId="261618E7" w:rsidR="00DC0F5C" w:rsidRPr="00DD008A" w:rsidRDefault="00A61209" w:rsidP="00DC0F5C">
            <w:pPr>
              <w:rPr>
                <w:rFonts w:ascii="Arial" w:hAnsi="Arial"/>
              </w:rPr>
            </w:pPr>
            <w:r w:rsidRPr="00DD008A">
              <w:rPr>
                <w:rFonts w:ascii="Arial" w:hAnsi="Arial"/>
              </w:rPr>
              <w:t>Degree Level qualification</w:t>
            </w:r>
          </w:p>
          <w:p w14:paraId="31D105AD" w14:textId="0CDCE59E" w:rsidR="00A61209" w:rsidRDefault="00A61209" w:rsidP="00DC0F5C">
            <w:pPr>
              <w:rPr>
                <w:rFonts w:ascii="Arial" w:hAnsi="Arial"/>
              </w:rPr>
            </w:pPr>
          </w:p>
          <w:p w14:paraId="3AD3912B" w14:textId="77777777" w:rsidR="00A61209" w:rsidRPr="000B5F6A" w:rsidRDefault="00A61209" w:rsidP="00DC0F5C">
            <w:pPr>
              <w:rPr>
                <w:rFonts w:ascii="Arial" w:hAnsi="Arial"/>
              </w:rPr>
            </w:pPr>
          </w:p>
        </w:tc>
        <w:tc>
          <w:tcPr>
            <w:tcW w:w="4391" w:type="dxa"/>
            <w:tcBorders>
              <w:top w:val="single" w:sz="12" w:space="0" w:color="000000" w:themeColor="text1"/>
              <w:bottom w:val="single" w:sz="8" w:space="0" w:color="000000" w:themeColor="text1"/>
            </w:tcBorders>
          </w:tcPr>
          <w:p w14:paraId="6174F7DC" w14:textId="77777777" w:rsidR="00671362" w:rsidRDefault="00671362" w:rsidP="00B543EB">
            <w:pPr>
              <w:rPr>
                <w:rFonts w:ascii="Arial" w:hAnsi="Arial"/>
              </w:rPr>
            </w:pPr>
          </w:p>
          <w:p w14:paraId="5F559992" w14:textId="77777777" w:rsidR="00BB39E4" w:rsidRPr="000B5F6A" w:rsidRDefault="00BB39E4" w:rsidP="00B543EB">
            <w:pPr>
              <w:rPr>
                <w:rFonts w:ascii="Arial" w:hAnsi="Arial"/>
              </w:rPr>
            </w:pPr>
            <w:r>
              <w:rPr>
                <w:rFonts w:ascii="Arial" w:hAnsi="Arial"/>
              </w:rPr>
              <w:t>Higher Degree</w:t>
            </w:r>
          </w:p>
        </w:tc>
      </w:tr>
      <w:tr w:rsidR="00FE042C" w:rsidRPr="00BB4F9B" w14:paraId="6475527D"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71C448" w14:textId="77777777" w:rsidR="00ED0F61" w:rsidRPr="00BB4F9B" w:rsidRDefault="00ED0F61" w:rsidP="00F166D5">
            <w:pPr>
              <w:rPr>
                <w:rFonts w:ascii="Arial" w:hAnsi="Arial"/>
                <w:b/>
              </w:rPr>
            </w:pPr>
          </w:p>
          <w:p w14:paraId="6583E614" w14:textId="77777777" w:rsidR="00044151" w:rsidRPr="00BB4F9B" w:rsidRDefault="00044151" w:rsidP="00F166D5">
            <w:pPr>
              <w:rPr>
                <w:rFonts w:ascii="Arial" w:hAnsi="Arial"/>
                <w:b/>
              </w:rPr>
            </w:pPr>
            <w:r w:rsidRPr="00BB4F9B">
              <w:rPr>
                <w:rFonts w:ascii="Arial" w:hAnsi="Arial"/>
                <w:b/>
              </w:rPr>
              <w:t xml:space="preserve">Post Specific Qualifications </w:t>
            </w:r>
          </w:p>
          <w:p w14:paraId="101E8B00" w14:textId="77777777" w:rsidR="00ED0F61" w:rsidRPr="00BB4F9B" w:rsidRDefault="00ED0F61" w:rsidP="00F166D5">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7EC72A88" w14:textId="77777777" w:rsidR="00A61209" w:rsidRDefault="00A61209" w:rsidP="00A61209">
            <w:pPr>
              <w:rPr>
                <w:rFonts w:ascii="Arial" w:hAnsi="Arial"/>
              </w:rPr>
            </w:pPr>
            <w:r w:rsidRPr="00A276E8">
              <w:rPr>
                <w:rFonts w:ascii="Arial" w:hAnsi="Arial"/>
              </w:rPr>
              <w:t>Teaching Qualification or</w:t>
            </w:r>
            <w:r w:rsidRPr="00DD008A">
              <w:rPr>
                <w:rFonts w:ascii="Arial" w:hAnsi="Arial"/>
              </w:rPr>
              <w:t xml:space="preserve"> </w:t>
            </w:r>
            <w:r>
              <w:rPr>
                <w:rFonts w:ascii="Arial" w:hAnsi="Arial"/>
              </w:rPr>
              <w:t>Fellow of the Higher Education Academy</w:t>
            </w:r>
          </w:p>
          <w:p w14:paraId="39B791B4" w14:textId="1161A7C2" w:rsidR="00044151" w:rsidRPr="000B5F6A" w:rsidRDefault="00044151" w:rsidP="00DC0F5C">
            <w:pPr>
              <w:rPr>
                <w:rFonts w:ascii="Arial" w:hAnsi="Arial"/>
              </w:rPr>
            </w:pPr>
          </w:p>
        </w:tc>
        <w:tc>
          <w:tcPr>
            <w:tcW w:w="4391" w:type="dxa"/>
            <w:tcBorders>
              <w:top w:val="single" w:sz="8" w:space="0" w:color="000000" w:themeColor="text1"/>
              <w:bottom w:val="single" w:sz="8" w:space="0" w:color="000000" w:themeColor="text1"/>
            </w:tcBorders>
          </w:tcPr>
          <w:p w14:paraId="525D6840" w14:textId="77777777" w:rsidR="0088481C" w:rsidRPr="000B5F6A" w:rsidRDefault="00044151" w:rsidP="00044151">
            <w:pPr>
              <w:pStyle w:val="TableParagraph"/>
              <w:tabs>
                <w:tab w:val="left" w:pos="823"/>
                <w:tab w:val="left" w:pos="824"/>
              </w:tabs>
              <w:spacing w:line="268" w:lineRule="exact"/>
              <w:ind w:left="0"/>
              <w:rPr>
                <w:rFonts w:eastAsiaTheme="minorHAnsi"/>
                <w:lang w:eastAsia="en-US" w:bidi="ar-SA"/>
              </w:rPr>
            </w:pPr>
            <w:r w:rsidRPr="000B5F6A">
              <w:rPr>
                <w:rFonts w:eastAsiaTheme="minorHAnsi"/>
                <w:lang w:eastAsia="en-US" w:bidi="ar-SA"/>
              </w:rPr>
              <w:t xml:space="preserve"> </w:t>
            </w:r>
          </w:p>
        </w:tc>
      </w:tr>
      <w:tr w:rsidR="00044151" w:rsidRPr="00BB4F9B" w14:paraId="573BAB1D"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3EA6D31" w14:textId="77777777" w:rsidR="00044151" w:rsidRPr="00BB4F9B" w:rsidRDefault="00044151" w:rsidP="00FE042C">
            <w:pPr>
              <w:rPr>
                <w:rFonts w:ascii="Arial" w:hAnsi="Arial"/>
                <w:b/>
              </w:rPr>
            </w:pPr>
            <w:r w:rsidRPr="00BB4F9B">
              <w:rPr>
                <w:rFonts w:ascii="Arial" w:hAnsi="Arial"/>
                <w:b/>
              </w:rPr>
              <w:t>Experience</w:t>
            </w:r>
          </w:p>
          <w:p w14:paraId="536B93DE" w14:textId="77777777" w:rsidR="00044151" w:rsidRPr="00BB4F9B" w:rsidRDefault="00044151" w:rsidP="00FE042C">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611485C9" w14:textId="77777777" w:rsidR="00FE042C" w:rsidRPr="00722F1D" w:rsidRDefault="005C3C54" w:rsidP="00DC0F5C">
            <w:pPr>
              <w:rPr>
                <w:rFonts w:ascii="Arial" w:hAnsi="Arial"/>
              </w:rPr>
            </w:pPr>
            <w:r>
              <w:rPr>
                <w:rFonts w:ascii="Arial" w:hAnsi="Arial"/>
              </w:rPr>
              <w:t>L</w:t>
            </w:r>
            <w:r w:rsidR="00BB39E4" w:rsidRPr="00722F1D">
              <w:rPr>
                <w:rFonts w:ascii="Arial" w:hAnsi="Arial"/>
              </w:rPr>
              <w:t xml:space="preserve">eading HE </w:t>
            </w:r>
            <w:proofErr w:type="spellStart"/>
            <w:r w:rsidR="00BB39E4" w:rsidRPr="00722F1D">
              <w:rPr>
                <w:rFonts w:ascii="Arial" w:hAnsi="Arial"/>
              </w:rPr>
              <w:t>programmes</w:t>
            </w:r>
            <w:proofErr w:type="spellEnd"/>
          </w:p>
          <w:p w14:paraId="6B5D5D90" w14:textId="77777777" w:rsidR="00BB39E4" w:rsidRDefault="00653D51" w:rsidP="006A4815">
            <w:pPr>
              <w:rPr>
                <w:rFonts w:ascii="Arial" w:hAnsi="Arial"/>
              </w:rPr>
            </w:pPr>
            <w:r>
              <w:rPr>
                <w:rFonts w:ascii="Arial" w:hAnsi="Arial"/>
              </w:rPr>
              <w:t>Development of HE curricula</w:t>
            </w:r>
          </w:p>
          <w:p w14:paraId="77DB4C94" w14:textId="77777777" w:rsidR="00152978" w:rsidRDefault="00152978" w:rsidP="006A4815">
            <w:pPr>
              <w:rPr>
                <w:rFonts w:ascii="Arial" w:hAnsi="Arial"/>
              </w:rPr>
            </w:pPr>
            <w:r>
              <w:rPr>
                <w:rFonts w:ascii="Arial" w:hAnsi="Arial"/>
              </w:rPr>
              <w:t>Teaching in FE/HE</w:t>
            </w:r>
          </w:p>
          <w:p w14:paraId="3315BFEE" w14:textId="77777777" w:rsidR="00152978" w:rsidRPr="00722F1D" w:rsidRDefault="00152978" w:rsidP="006A4815">
            <w:pPr>
              <w:rPr>
                <w:rFonts w:ascii="Arial" w:hAnsi="Arial"/>
              </w:rPr>
            </w:pPr>
          </w:p>
        </w:tc>
        <w:tc>
          <w:tcPr>
            <w:tcW w:w="4391" w:type="dxa"/>
            <w:tcBorders>
              <w:top w:val="single" w:sz="8" w:space="0" w:color="000000" w:themeColor="text1"/>
              <w:bottom w:val="single" w:sz="8" w:space="0" w:color="000000" w:themeColor="text1"/>
            </w:tcBorders>
          </w:tcPr>
          <w:p w14:paraId="6470D22B" w14:textId="77777777" w:rsidR="00BB39E4" w:rsidRPr="000B5F6A" w:rsidRDefault="005C3C54" w:rsidP="00DC0F5C">
            <w:pPr>
              <w:rPr>
                <w:rFonts w:ascii="Arial" w:hAnsi="Arial"/>
              </w:rPr>
            </w:pPr>
            <w:r>
              <w:rPr>
                <w:rFonts w:ascii="Arial" w:hAnsi="Arial"/>
              </w:rPr>
              <w:t>I</w:t>
            </w:r>
            <w:r w:rsidR="00F1301D">
              <w:rPr>
                <w:rFonts w:ascii="Arial" w:hAnsi="Arial"/>
              </w:rPr>
              <w:t xml:space="preserve">dentifying opportunities for new educational </w:t>
            </w:r>
            <w:proofErr w:type="spellStart"/>
            <w:r w:rsidR="00F1301D">
              <w:rPr>
                <w:rFonts w:ascii="Arial" w:hAnsi="Arial"/>
              </w:rPr>
              <w:t>programmes</w:t>
            </w:r>
            <w:proofErr w:type="spellEnd"/>
            <w:r w:rsidR="00F1301D">
              <w:rPr>
                <w:rFonts w:ascii="Arial" w:hAnsi="Arial"/>
              </w:rPr>
              <w:t xml:space="preserve"> and implementing them </w:t>
            </w:r>
          </w:p>
        </w:tc>
      </w:tr>
      <w:tr w:rsidR="00483FC6" w:rsidRPr="00BB4F9B" w14:paraId="0BFA1503"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27205C2A" w14:textId="77777777" w:rsidR="00483FC6" w:rsidRPr="00BB4F9B" w:rsidRDefault="00483FC6" w:rsidP="00483FC6">
            <w:pPr>
              <w:rPr>
                <w:rFonts w:ascii="Arial" w:hAnsi="Arial"/>
                <w:b/>
              </w:rPr>
            </w:pPr>
            <w:r w:rsidRPr="00BB4F9B">
              <w:rPr>
                <w:rFonts w:ascii="Arial" w:hAnsi="Arial"/>
                <w:b/>
              </w:rPr>
              <w:t>Knowledge</w:t>
            </w:r>
          </w:p>
          <w:p w14:paraId="1F7C8EED" w14:textId="77777777" w:rsidR="00483FC6" w:rsidRPr="00BB4F9B" w:rsidRDefault="00483FC6" w:rsidP="00044151">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0883E182" w14:textId="77777777" w:rsidR="00DC0F5C" w:rsidRDefault="00DC0F5C" w:rsidP="00DC0F5C">
            <w:pPr>
              <w:rPr>
                <w:rFonts w:ascii="Arial" w:hAnsi="Arial"/>
              </w:rPr>
            </w:pPr>
            <w:r w:rsidRPr="00722F1D">
              <w:rPr>
                <w:rFonts w:ascii="Arial" w:hAnsi="Arial"/>
              </w:rPr>
              <w:t xml:space="preserve">understanding </w:t>
            </w:r>
            <w:r w:rsidR="006A4815" w:rsidRPr="00722F1D">
              <w:rPr>
                <w:rFonts w:ascii="Arial" w:hAnsi="Arial"/>
              </w:rPr>
              <w:t xml:space="preserve">of </w:t>
            </w:r>
            <w:r w:rsidR="006A4815">
              <w:rPr>
                <w:rFonts w:ascii="Arial" w:hAnsi="Arial"/>
              </w:rPr>
              <w:t xml:space="preserve">college-based </w:t>
            </w:r>
            <w:r w:rsidR="006A4815" w:rsidRPr="00722F1D">
              <w:rPr>
                <w:rFonts w:ascii="Arial" w:hAnsi="Arial"/>
              </w:rPr>
              <w:t>higher education</w:t>
            </w:r>
          </w:p>
          <w:p w14:paraId="466EEFAC" w14:textId="77777777" w:rsidR="0093370E" w:rsidRPr="00722F1D" w:rsidRDefault="00653D51" w:rsidP="00DC0F5C">
            <w:pPr>
              <w:rPr>
                <w:rFonts w:ascii="Arial" w:hAnsi="Arial"/>
              </w:rPr>
            </w:pPr>
            <w:r>
              <w:rPr>
                <w:rFonts w:ascii="Arial" w:hAnsi="Arial"/>
              </w:rPr>
              <w:t>knowledge of HE regulatory requirements in England</w:t>
            </w:r>
          </w:p>
          <w:p w14:paraId="28ED8336" w14:textId="77777777" w:rsidR="00DC0F5C" w:rsidRPr="00722F1D" w:rsidRDefault="005C3C54" w:rsidP="00DC0F5C">
            <w:pPr>
              <w:rPr>
                <w:rFonts w:ascii="Arial" w:hAnsi="Arial"/>
              </w:rPr>
            </w:pPr>
            <w:r>
              <w:rPr>
                <w:rFonts w:ascii="Arial" w:hAnsi="Arial"/>
              </w:rPr>
              <w:t>C</w:t>
            </w:r>
            <w:r w:rsidR="00DC0F5C" w:rsidRPr="00722F1D">
              <w:rPr>
                <w:rFonts w:ascii="Arial" w:hAnsi="Arial"/>
              </w:rPr>
              <w:t>urrent evidence-based practice in field(s) of expertise.</w:t>
            </w:r>
          </w:p>
          <w:p w14:paraId="3ACF6D68" w14:textId="77777777" w:rsidR="00DC0F5C" w:rsidRPr="00722F1D" w:rsidRDefault="005C3C54" w:rsidP="00DC0F5C">
            <w:pPr>
              <w:rPr>
                <w:rFonts w:ascii="Arial" w:hAnsi="Arial"/>
              </w:rPr>
            </w:pPr>
            <w:r>
              <w:rPr>
                <w:rFonts w:ascii="Arial" w:hAnsi="Arial"/>
              </w:rPr>
              <w:t>I</w:t>
            </w:r>
            <w:r w:rsidR="00DC0F5C" w:rsidRPr="00722F1D">
              <w:rPr>
                <w:rFonts w:ascii="Arial" w:hAnsi="Arial"/>
              </w:rPr>
              <w:t>ssues relating to equal opportunities and cultural diversity.</w:t>
            </w:r>
          </w:p>
          <w:p w14:paraId="42A510DD" w14:textId="77777777" w:rsidR="000B5F6A" w:rsidRPr="00722F1D" w:rsidRDefault="000B5F6A" w:rsidP="00653D51">
            <w:pPr>
              <w:contextualSpacing/>
              <w:rPr>
                <w:rFonts w:ascii="Arial" w:hAnsi="Arial"/>
              </w:rPr>
            </w:pPr>
          </w:p>
        </w:tc>
        <w:tc>
          <w:tcPr>
            <w:tcW w:w="4391" w:type="dxa"/>
            <w:tcBorders>
              <w:top w:val="single" w:sz="8" w:space="0" w:color="000000" w:themeColor="text1"/>
              <w:bottom w:val="single" w:sz="8" w:space="0" w:color="000000" w:themeColor="text1"/>
            </w:tcBorders>
          </w:tcPr>
          <w:p w14:paraId="5184BF35" w14:textId="77777777" w:rsidR="00BB39E4" w:rsidRPr="00876744" w:rsidRDefault="005C3C54" w:rsidP="00BB39E4">
            <w:pPr>
              <w:spacing w:after="200" w:line="276" w:lineRule="auto"/>
              <w:contextualSpacing/>
              <w:rPr>
                <w:rFonts w:ascii="Arial" w:hAnsi="Arial"/>
              </w:rPr>
            </w:pPr>
            <w:r>
              <w:rPr>
                <w:rFonts w:ascii="Arial" w:hAnsi="Arial"/>
              </w:rPr>
              <w:t>L</w:t>
            </w:r>
            <w:r w:rsidR="00BB39E4">
              <w:rPr>
                <w:rFonts w:ascii="Arial" w:hAnsi="Arial"/>
              </w:rPr>
              <w:t>eadership &amp; Management</w:t>
            </w:r>
          </w:p>
          <w:p w14:paraId="6CA834AF" w14:textId="77777777" w:rsidR="000B5F6A" w:rsidRPr="000B5F6A" w:rsidRDefault="000B5F6A">
            <w:pPr>
              <w:rPr>
                <w:rFonts w:ascii="Arial" w:hAnsi="Arial"/>
              </w:rPr>
            </w:pPr>
          </w:p>
        </w:tc>
      </w:tr>
      <w:tr w:rsidR="00FE042C" w:rsidRPr="00BB4F9B" w14:paraId="184B0FA0"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404DC40" w14:textId="77777777" w:rsidR="00044151" w:rsidRPr="00BB4F9B" w:rsidRDefault="00044151" w:rsidP="00044151">
            <w:pPr>
              <w:rPr>
                <w:rFonts w:ascii="Arial" w:hAnsi="Arial"/>
                <w:b/>
              </w:rPr>
            </w:pPr>
          </w:p>
          <w:p w14:paraId="198233A8" w14:textId="77777777" w:rsidR="00ED0F61" w:rsidRPr="00BB4F9B" w:rsidRDefault="00ED0F61" w:rsidP="00F166D5">
            <w:pPr>
              <w:rPr>
                <w:rFonts w:ascii="Arial" w:hAnsi="Arial"/>
                <w:b/>
              </w:rPr>
            </w:pPr>
          </w:p>
          <w:p w14:paraId="3304748C" w14:textId="77777777" w:rsidR="00ED0F61" w:rsidRPr="00BB4F9B" w:rsidRDefault="00ED0F61" w:rsidP="00F166D5">
            <w:pPr>
              <w:rPr>
                <w:rFonts w:ascii="Arial" w:hAnsi="Arial"/>
                <w:b/>
              </w:rPr>
            </w:pPr>
          </w:p>
          <w:p w14:paraId="4CF7E165" w14:textId="77777777" w:rsidR="00ED0F61" w:rsidRPr="00BB4F9B" w:rsidRDefault="00ED0F61" w:rsidP="00F166D5">
            <w:pPr>
              <w:rPr>
                <w:rFonts w:ascii="Arial" w:hAnsi="Arial"/>
                <w:b/>
              </w:rPr>
            </w:pPr>
            <w:r w:rsidRPr="00BB4F9B">
              <w:rPr>
                <w:rFonts w:ascii="Arial" w:hAnsi="Arial"/>
                <w:b/>
              </w:rPr>
              <w:t xml:space="preserve">Skills </w:t>
            </w:r>
          </w:p>
          <w:p w14:paraId="5C8EC4EB" w14:textId="77777777" w:rsidR="00ED0F61" w:rsidRPr="00BB4F9B" w:rsidRDefault="00ED0F61" w:rsidP="00F166D5">
            <w:pPr>
              <w:rPr>
                <w:rFonts w:ascii="Arial" w:hAnsi="Arial"/>
                <w:b/>
              </w:rPr>
            </w:pPr>
          </w:p>
          <w:p w14:paraId="6C25546B" w14:textId="77777777" w:rsidR="00ED0F61" w:rsidRPr="00BB4F9B" w:rsidRDefault="00ED0F61" w:rsidP="00F166D5">
            <w:pPr>
              <w:rPr>
                <w:rFonts w:ascii="Arial" w:hAnsi="Arial"/>
                <w:b/>
              </w:rPr>
            </w:pPr>
          </w:p>
          <w:p w14:paraId="6F248009" w14:textId="77777777" w:rsidR="00ED0F61" w:rsidRPr="00BB4F9B" w:rsidRDefault="00ED0F61" w:rsidP="00F166D5">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6650BA26" w14:textId="77777777" w:rsidR="00F1301D" w:rsidRPr="00722F1D" w:rsidRDefault="00F1301D" w:rsidP="00DC0F5C">
            <w:pPr>
              <w:rPr>
                <w:rFonts w:ascii="Arial" w:hAnsi="Arial"/>
              </w:rPr>
            </w:pPr>
            <w:r w:rsidRPr="00722F1D">
              <w:rPr>
                <w:rFonts w:ascii="Arial" w:hAnsi="Arial"/>
              </w:rPr>
              <w:t xml:space="preserve">Ability to influence seniors, peers and other colleagues in an </w:t>
            </w:r>
            <w:proofErr w:type="spellStart"/>
            <w:r w:rsidRPr="00722F1D">
              <w:rPr>
                <w:rFonts w:ascii="Arial" w:hAnsi="Arial"/>
              </w:rPr>
              <w:t>organisation</w:t>
            </w:r>
            <w:proofErr w:type="spellEnd"/>
          </w:p>
          <w:p w14:paraId="42023EC3" w14:textId="77777777" w:rsidR="00DC0F5C" w:rsidRPr="00722F1D" w:rsidRDefault="00DC0F5C" w:rsidP="00DC0F5C">
            <w:pPr>
              <w:rPr>
                <w:rFonts w:ascii="Arial" w:hAnsi="Arial"/>
              </w:rPr>
            </w:pPr>
            <w:proofErr w:type="spellStart"/>
            <w:r w:rsidRPr="00722F1D">
              <w:rPr>
                <w:rFonts w:ascii="Arial" w:hAnsi="Arial"/>
              </w:rPr>
              <w:t>organisational</w:t>
            </w:r>
            <w:proofErr w:type="spellEnd"/>
            <w:r w:rsidRPr="00722F1D">
              <w:rPr>
                <w:rFonts w:ascii="Arial" w:hAnsi="Arial"/>
              </w:rPr>
              <w:t xml:space="preserve"> skills</w:t>
            </w:r>
          </w:p>
          <w:p w14:paraId="6B2E9B73" w14:textId="77777777" w:rsidR="00DC0F5C" w:rsidRPr="00722F1D" w:rsidRDefault="000D1D29" w:rsidP="00DC0F5C">
            <w:pPr>
              <w:rPr>
                <w:rFonts w:ascii="Arial" w:hAnsi="Arial"/>
              </w:rPr>
            </w:pPr>
            <w:r>
              <w:rPr>
                <w:rFonts w:ascii="Arial" w:hAnsi="Arial"/>
              </w:rPr>
              <w:t>A</w:t>
            </w:r>
            <w:r w:rsidRPr="000D1D29">
              <w:rPr>
                <w:rFonts w:ascii="Arial" w:hAnsi="Arial"/>
              </w:rPr>
              <w:t>bility to work effectively as part of a team</w:t>
            </w:r>
            <w:r w:rsidRPr="000D1D29">
              <w:rPr>
                <w:rFonts w:ascii="Arial" w:hAnsi="Arial"/>
              </w:rPr>
              <w:cr/>
            </w:r>
            <w:r w:rsidR="00DC0F5C" w:rsidRPr="00722F1D">
              <w:rPr>
                <w:rFonts w:ascii="Arial" w:hAnsi="Arial"/>
              </w:rPr>
              <w:t xml:space="preserve"> communication </w:t>
            </w:r>
            <w:r w:rsidR="00DC0F5C" w:rsidRPr="006A4815">
              <w:rPr>
                <w:rFonts w:ascii="Arial" w:hAnsi="Arial"/>
              </w:rPr>
              <w:t>skills</w:t>
            </w:r>
            <w:r w:rsidR="006A4815">
              <w:rPr>
                <w:rFonts w:ascii="Arial" w:hAnsi="Arial"/>
              </w:rPr>
              <w:t xml:space="preserve"> – both written and in-person</w:t>
            </w:r>
          </w:p>
          <w:p w14:paraId="760E7818" w14:textId="77777777" w:rsidR="00DC0F5C" w:rsidRPr="00722F1D" w:rsidRDefault="00653D51" w:rsidP="00DC0F5C">
            <w:pPr>
              <w:rPr>
                <w:rFonts w:ascii="Arial" w:hAnsi="Arial"/>
              </w:rPr>
            </w:pPr>
            <w:r>
              <w:rPr>
                <w:rFonts w:ascii="Arial" w:hAnsi="Arial"/>
              </w:rPr>
              <w:t>MS Office software including Word, Excel and Teams</w:t>
            </w:r>
          </w:p>
          <w:p w14:paraId="24223186" w14:textId="77777777" w:rsidR="00DC0F5C" w:rsidRPr="00722F1D" w:rsidRDefault="00DC0F5C" w:rsidP="00DC0F5C">
            <w:pPr>
              <w:rPr>
                <w:rFonts w:ascii="Arial" w:hAnsi="Arial"/>
              </w:rPr>
            </w:pPr>
            <w:r w:rsidRPr="00722F1D">
              <w:rPr>
                <w:rFonts w:ascii="Arial" w:hAnsi="Arial"/>
              </w:rPr>
              <w:t xml:space="preserve">interpersonal </w:t>
            </w:r>
            <w:r w:rsidRPr="006A4815">
              <w:rPr>
                <w:rFonts w:ascii="Arial" w:hAnsi="Arial"/>
              </w:rPr>
              <w:t>skills</w:t>
            </w:r>
          </w:p>
          <w:p w14:paraId="4ED29E72" w14:textId="77777777" w:rsidR="000D1D29" w:rsidRDefault="000D1D29" w:rsidP="000D1D29">
            <w:pPr>
              <w:pStyle w:val="TableParagraph"/>
              <w:tabs>
                <w:tab w:val="left" w:pos="827"/>
                <w:tab w:val="left" w:pos="828"/>
              </w:tabs>
              <w:ind w:left="0" w:right="380"/>
              <w:rPr>
                <w:rFonts w:eastAsiaTheme="minorHAnsi"/>
                <w:lang w:eastAsia="en-US" w:bidi="ar-SA"/>
              </w:rPr>
            </w:pPr>
            <w:r w:rsidRPr="000D1D29">
              <w:rPr>
                <w:rFonts w:eastAsiaTheme="minorHAnsi"/>
                <w:lang w:eastAsia="en-US" w:bidi="ar-SA"/>
              </w:rPr>
              <w:t>analytical and problem-solving skills</w:t>
            </w:r>
          </w:p>
          <w:p w14:paraId="0115612C" w14:textId="77777777" w:rsidR="008301BA" w:rsidRDefault="000D1D29" w:rsidP="000D1D29">
            <w:pPr>
              <w:pStyle w:val="TableParagraph"/>
              <w:tabs>
                <w:tab w:val="left" w:pos="827"/>
                <w:tab w:val="left" w:pos="828"/>
              </w:tabs>
              <w:ind w:left="0" w:right="380"/>
              <w:rPr>
                <w:rFonts w:eastAsiaTheme="minorHAnsi"/>
                <w:lang w:eastAsia="en-US" w:bidi="ar-SA"/>
              </w:rPr>
            </w:pPr>
            <w:r w:rsidRPr="000D1D29">
              <w:rPr>
                <w:rFonts w:eastAsiaTheme="minorHAnsi"/>
                <w:lang w:eastAsia="en-US" w:bidi="ar-SA"/>
              </w:rPr>
              <w:t>judgement and effective decision making</w:t>
            </w:r>
          </w:p>
          <w:p w14:paraId="2C3D7BB9" w14:textId="77777777" w:rsidR="003D198C" w:rsidRDefault="003D198C" w:rsidP="000D1D29">
            <w:pPr>
              <w:pStyle w:val="TableParagraph"/>
              <w:tabs>
                <w:tab w:val="left" w:pos="827"/>
                <w:tab w:val="left" w:pos="828"/>
              </w:tabs>
              <w:ind w:left="0" w:right="380"/>
              <w:rPr>
                <w:rFonts w:eastAsiaTheme="minorHAnsi"/>
                <w:lang w:eastAsia="en-US" w:bidi="ar-SA"/>
              </w:rPr>
            </w:pPr>
            <w:r>
              <w:rPr>
                <w:rFonts w:eastAsiaTheme="minorHAnsi"/>
                <w:lang w:eastAsia="en-US" w:bidi="ar-SA"/>
              </w:rPr>
              <w:t>Report writing</w:t>
            </w:r>
          </w:p>
          <w:p w14:paraId="4DC03E86" w14:textId="77777777" w:rsidR="003D198C" w:rsidRPr="00722F1D" w:rsidRDefault="003D198C" w:rsidP="000D1D29">
            <w:pPr>
              <w:pStyle w:val="TableParagraph"/>
              <w:tabs>
                <w:tab w:val="left" w:pos="827"/>
                <w:tab w:val="left" w:pos="828"/>
              </w:tabs>
              <w:ind w:left="0" w:right="380"/>
              <w:rPr>
                <w:rFonts w:eastAsiaTheme="minorHAnsi"/>
                <w:lang w:eastAsia="en-US" w:bidi="ar-SA"/>
              </w:rPr>
            </w:pPr>
            <w:r>
              <w:rPr>
                <w:rFonts w:eastAsiaTheme="minorHAnsi"/>
                <w:lang w:eastAsia="en-US" w:bidi="ar-SA"/>
              </w:rPr>
              <w:t xml:space="preserve">Presentations </w:t>
            </w:r>
          </w:p>
        </w:tc>
        <w:tc>
          <w:tcPr>
            <w:tcW w:w="4391" w:type="dxa"/>
            <w:tcBorders>
              <w:top w:val="single" w:sz="8" w:space="0" w:color="000000" w:themeColor="text1"/>
              <w:bottom w:val="single" w:sz="8" w:space="0" w:color="000000" w:themeColor="text1"/>
            </w:tcBorders>
          </w:tcPr>
          <w:p w14:paraId="632B899C" w14:textId="77777777" w:rsidR="00ED0F61" w:rsidRPr="000B5F6A" w:rsidRDefault="00ED0F61" w:rsidP="00DC0F5C">
            <w:pPr>
              <w:rPr>
                <w:rFonts w:ascii="Arial" w:hAnsi="Arial"/>
              </w:rPr>
            </w:pPr>
          </w:p>
        </w:tc>
      </w:tr>
      <w:tr w:rsidR="00FE042C" w:rsidRPr="00BB4F9B" w14:paraId="5EBB006A"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2A31A76" w14:textId="77777777" w:rsidR="00ED0F61" w:rsidRPr="00BB4F9B" w:rsidRDefault="00ED0F61" w:rsidP="00F166D5">
            <w:pPr>
              <w:rPr>
                <w:rFonts w:ascii="Arial" w:hAnsi="Arial"/>
                <w:b/>
              </w:rPr>
            </w:pPr>
          </w:p>
          <w:p w14:paraId="163AD03A" w14:textId="77777777" w:rsidR="00ED0F61" w:rsidRPr="00BB4F9B" w:rsidRDefault="00ED0F61" w:rsidP="00F166D5">
            <w:pPr>
              <w:rPr>
                <w:rFonts w:ascii="Arial" w:hAnsi="Arial"/>
                <w:b/>
              </w:rPr>
            </w:pPr>
            <w:r w:rsidRPr="00BB4F9B">
              <w:rPr>
                <w:rFonts w:ascii="Arial" w:hAnsi="Arial"/>
                <w:b/>
              </w:rPr>
              <w:t>Other Requirements</w:t>
            </w:r>
          </w:p>
          <w:p w14:paraId="6952ECC0" w14:textId="77777777" w:rsidR="00ED0F61" w:rsidRPr="00BB4F9B" w:rsidRDefault="00ED0F61" w:rsidP="00F166D5">
            <w:pPr>
              <w:rPr>
                <w:rFonts w:ascii="Arial" w:hAnsi="Arial"/>
                <w:b/>
              </w:rPr>
            </w:pPr>
          </w:p>
          <w:p w14:paraId="2D517DFC" w14:textId="77777777" w:rsidR="00ED0F61" w:rsidRPr="00BB4F9B" w:rsidRDefault="00ED0F61" w:rsidP="00F166D5">
            <w:pPr>
              <w:rPr>
                <w:rFonts w:ascii="Arial" w:hAnsi="Arial"/>
                <w:b/>
              </w:rPr>
            </w:pPr>
          </w:p>
        </w:tc>
        <w:tc>
          <w:tcPr>
            <w:tcW w:w="4378" w:type="dxa"/>
            <w:tcBorders>
              <w:top w:val="single" w:sz="8" w:space="0" w:color="000000" w:themeColor="text1"/>
              <w:left w:val="single" w:sz="12" w:space="0" w:color="000000" w:themeColor="text1"/>
              <w:bottom w:val="single" w:sz="12" w:space="0" w:color="000000" w:themeColor="text1"/>
            </w:tcBorders>
          </w:tcPr>
          <w:p w14:paraId="2A5AE62B" w14:textId="77777777" w:rsidR="00653D51" w:rsidRPr="00722F1D" w:rsidRDefault="00653D51" w:rsidP="00653D51">
            <w:pPr>
              <w:spacing w:after="200" w:line="276" w:lineRule="auto"/>
              <w:contextualSpacing/>
              <w:rPr>
                <w:rFonts w:ascii="Arial" w:hAnsi="Arial"/>
              </w:rPr>
            </w:pPr>
            <w:r>
              <w:rPr>
                <w:rFonts w:ascii="Arial" w:hAnsi="Arial"/>
              </w:rPr>
              <w:t>C</w:t>
            </w:r>
            <w:r w:rsidRPr="00722F1D">
              <w:rPr>
                <w:rFonts w:ascii="Arial" w:hAnsi="Arial"/>
              </w:rPr>
              <w:t xml:space="preserve">ommitment to safeguarding children and vulnerable adults </w:t>
            </w:r>
          </w:p>
          <w:p w14:paraId="7C3CCD3E" w14:textId="77777777" w:rsidR="00A86530" w:rsidRDefault="005C3C54" w:rsidP="00044151">
            <w:pPr>
              <w:rPr>
                <w:rFonts w:ascii="Arial" w:hAnsi="Arial"/>
              </w:rPr>
            </w:pPr>
            <w:r>
              <w:rPr>
                <w:rFonts w:ascii="Arial" w:hAnsi="Arial"/>
              </w:rPr>
              <w:t>T</w:t>
            </w:r>
            <w:r w:rsidR="005D313F">
              <w:rPr>
                <w:rFonts w:ascii="Arial" w:hAnsi="Arial"/>
              </w:rPr>
              <w:t>ravel between college sites and to offsite meetings</w:t>
            </w:r>
          </w:p>
          <w:p w14:paraId="439ACA9F" w14:textId="77777777" w:rsidR="00653D51" w:rsidRDefault="005C3C54" w:rsidP="00653D51">
            <w:pPr>
              <w:spacing w:after="200" w:line="276" w:lineRule="auto"/>
              <w:contextualSpacing/>
              <w:rPr>
                <w:rFonts w:ascii="Arial" w:hAnsi="Arial"/>
              </w:rPr>
            </w:pPr>
            <w:r>
              <w:rPr>
                <w:rFonts w:ascii="Arial" w:hAnsi="Arial"/>
              </w:rPr>
              <w:t>W</w:t>
            </w:r>
            <w:r w:rsidR="005D313F">
              <w:rPr>
                <w:rFonts w:ascii="Arial" w:hAnsi="Arial"/>
              </w:rPr>
              <w:t>ork outside of standard working hours to both meet work requirements and support cross college events and activities (e.g. open events)</w:t>
            </w:r>
            <w:r w:rsidR="00653D51">
              <w:rPr>
                <w:rFonts w:ascii="Arial" w:hAnsi="Arial"/>
              </w:rPr>
              <w:t xml:space="preserve"> </w:t>
            </w:r>
          </w:p>
          <w:p w14:paraId="245BFC6C" w14:textId="77777777" w:rsidR="00653D51" w:rsidRDefault="00653D51" w:rsidP="00653D51">
            <w:pPr>
              <w:spacing w:after="200" w:line="276" w:lineRule="auto"/>
              <w:contextualSpacing/>
              <w:rPr>
                <w:rFonts w:ascii="Arial" w:hAnsi="Arial"/>
              </w:rPr>
            </w:pPr>
            <w:r>
              <w:rPr>
                <w:rFonts w:ascii="Arial" w:hAnsi="Arial"/>
              </w:rPr>
              <w:t>Willingness to undertake training and CPD</w:t>
            </w:r>
          </w:p>
          <w:p w14:paraId="77EF79B9" w14:textId="77777777" w:rsidR="00152978" w:rsidRDefault="00152978" w:rsidP="00653D51">
            <w:pPr>
              <w:spacing w:after="200" w:line="276" w:lineRule="auto"/>
              <w:contextualSpacing/>
              <w:rPr>
                <w:rFonts w:ascii="Arial" w:hAnsi="Arial"/>
              </w:rPr>
            </w:pPr>
            <w:r>
              <w:rPr>
                <w:rFonts w:ascii="Arial" w:hAnsi="Arial"/>
              </w:rPr>
              <w:t>Networking and att</w:t>
            </w:r>
            <w:r w:rsidR="003D198C">
              <w:rPr>
                <w:rFonts w:ascii="Arial" w:hAnsi="Arial"/>
              </w:rPr>
              <w:t>endance at appropriate external events</w:t>
            </w:r>
          </w:p>
          <w:p w14:paraId="391D9AC7" w14:textId="77777777" w:rsidR="005D313F" w:rsidRPr="00BB4F9B" w:rsidRDefault="005D313F" w:rsidP="00653D51">
            <w:pPr>
              <w:contextualSpacing/>
              <w:rPr>
                <w:rFonts w:ascii="Arial" w:hAnsi="Arial"/>
              </w:rPr>
            </w:pPr>
          </w:p>
        </w:tc>
        <w:tc>
          <w:tcPr>
            <w:tcW w:w="4391" w:type="dxa"/>
            <w:tcBorders>
              <w:top w:val="single" w:sz="8" w:space="0" w:color="000000" w:themeColor="text1"/>
              <w:bottom w:val="single" w:sz="12" w:space="0" w:color="000000" w:themeColor="text1"/>
            </w:tcBorders>
          </w:tcPr>
          <w:p w14:paraId="3FC7A5C6" w14:textId="77777777" w:rsidR="00B543EB" w:rsidRPr="00BB4F9B" w:rsidRDefault="00B543EB" w:rsidP="00F3375D">
            <w:pPr>
              <w:rPr>
                <w:rFonts w:ascii="Arial" w:hAnsi="Arial"/>
              </w:rPr>
            </w:pPr>
          </w:p>
          <w:p w14:paraId="692F82D4" w14:textId="77777777" w:rsidR="00B543EB" w:rsidRPr="00BB4F9B" w:rsidRDefault="00B543EB" w:rsidP="00B543EB">
            <w:pPr>
              <w:rPr>
                <w:rFonts w:ascii="Arial" w:hAnsi="Arial"/>
              </w:rPr>
            </w:pPr>
          </w:p>
        </w:tc>
      </w:tr>
    </w:tbl>
    <w:p w14:paraId="470BD6F2" w14:textId="77777777" w:rsidR="00057A8B" w:rsidRDefault="00057A8B" w:rsidP="00C37991">
      <w:pPr>
        <w:rPr>
          <w:rFonts w:ascii="Arial" w:hAnsi="Arial" w:cs="Arial"/>
        </w:rPr>
      </w:pPr>
    </w:p>
    <w:sectPr w:rsidR="00057A8B" w:rsidSect="008230D6">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570E" w14:textId="77777777" w:rsidR="00C676BE" w:rsidRDefault="00C676BE" w:rsidP="00FB2EBA">
      <w:pPr>
        <w:spacing w:after="0" w:line="240" w:lineRule="auto"/>
      </w:pPr>
      <w:r>
        <w:separator/>
      </w:r>
    </w:p>
  </w:endnote>
  <w:endnote w:type="continuationSeparator" w:id="0">
    <w:p w14:paraId="548F339C" w14:textId="77777777" w:rsidR="00C676BE" w:rsidRDefault="00C676BE"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47C4" w14:textId="5E1B95B4" w:rsidR="008230D6" w:rsidRDefault="001C131D">
    <w:r>
      <w:rPr>
        <w:b/>
        <w:i/>
      </w:rPr>
      <w:t xml:space="preserve"> HE Manager</w:t>
    </w:r>
    <w:r w:rsidR="00473090">
      <w:tab/>
    </w:r>
    <w:r w:rsidR="00473090">
      <w:tab/>
    </w:r>
    <w:r w:rsidR="00335C14">
      <w:tab/>
    </w:r>
    <w:r w:rsidR="00335C14">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E618" w14:textId="77777777" w:rsidR="00C676BE" w:rsidRDefault="00C676BE" w:rsidP="00FB2EBA">
      <w:pPr>
        <w:spacing w:after="0" w:line="240" w:lineRule="auto"/>
      </w:pPr>
      <w:r>
        <w:separator/>
      </w:r>
    </w:p>
  </w:footnote>
  <w:footnote w:type="continuationSeparator" w:id="0">
    <w:p w14:paraId="60BBA952" w14:textId="77777777" w:rsidR="00C676BE" w:rsidRDefault="00C676BE"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F3D0" w14:textId="77777777" w:rsidR="002F6E57" w:rsidRDefault="001C131D" w:rsidP="002F6E57">
    <w:pPr>
      <w:pStyle w:val="Header"/>
      <w:jc w:val="center"/>
    </w:pPr>
    <w:r>
      <w:rPr>
        <w:noProof/>
      </w:rPr>
      <w:drawing>
        <wp:inline distT="0" distB="0" distL="0" distR="0" wp14:anchorId="72478004" wp14:editId="3C07154F">
          <wp:extent cx="1543050" cy="57087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1262" cy="57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946"/>
    <w:multiLevelType w:val="hybridMultilevel"/>
    <w:tmpl w:val="C738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2"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AE9"/>
    <w:multiLevelType w:val="hybridMultilevel"/>
    <w:tmpl w:val="637C01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6" w15:restartNumberingAfterBreak="0">
    <w:nsid w:val="17CA4DC1"/>
    <w:multiLevelType w:val="singleLevel"/>
    <w:tmpl w:val="53EE4604"/>
    <w:lvl w:ilvl="0">
      <w:start w:val="6"/>
      <w:numFmt w:val="decimal"/>
      <w:lvlText w:val="%1."/>
      <w:lvlJc w:val="left"/>
      <w:pPr>
        <w:tabs>
          <w:tab w:val="num" w:pos="720"/>
        </w:tabs>
        <w:ind w:left="720" w:hanging="720"/>
      </w:pPr>
      <w:rPr>
        <w:rFonts w:hint="default"/>
      </w:rPr>
    </w:lvl>
  </w:abstractNum>
  <w:abstractNum w:abstractNumId="7" w15:restartNumberingAfterBreak="0">
    <w:nsid w:val="17FF506C"/>
    <w:multiLevelType w:val="hybridMultilevel"/>
    <w:tmpl w:val="BD501CB6"/>
    <w:lvl w:ilvl="0" w:tplc="E5FA2A4A">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195168C6"/>
    <w:multiLevelType w:val="hybridMultilevel"/>
    <w:tmpl w:val="6C1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5" w15:restartNumberingAfterBreak="0">
    <w:nsid w:val="26E1514E"/>
    <w:multiLevelType w:val="hybridMultilevel"/>
    <w:tmpl w:val="E8C08C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416EB"/>
    <w:multiLevelType w:val="hybridMultilevel"/>
    <w:tmpl w:val="8A124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5B56B3"/>
    <w:multiLevelType w:val="hybridMultilevel"/>
    <w:tmpl w:val="BDE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F56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4" w15:restartNumberingAfterBreak="0">
    <w:nsid w:val="480D6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6"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113987"/>
    <w:multiLevelType w:val="hybridMultilevel"/>
    <w:tmpl w:val="7CD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B32F9"/>
    <w:multiLevelType w:val="hybridMultilevel"/>
    <w:tmpl w:val="90FA62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0" w15:restartNumberingAfterBreak="0">
    <w:nsid w:val="4E386F39"/>
    <w:multiLevelType w:val="hybridMultilevel"/>
    <w:tmpl w:val="56E2B6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2" w15:restartNumberingAfterBreak="0">
    <w:nsid w:val="5DAC473F"/>
    <w:multiLevelType w:val="hybridMultilevel"/>
    <w:tmpl w:val="E90A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6" w15:restartNumberingAfterBreak="0">
    <w:nsid w:val="68E569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8" w15:restartNumberingAfterBreak="0">
    <w:nsid w:val="6D337D51"/>
    <w:multiLevelType w:val="hybridMultilevel"/>
    <w:tmpl w:val="D1C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5258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42" w15:restartNumberingAfterBreak="0">
    <w:nsid w:val="76184EAE"/>
    <w:multiLevelType w:val="hybridMultilevel"/>
    <w:tmpl w:val="6186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44" w15:restartNumberingAfterBreak="0">
    <w:nsid w:val="7DA20E46"/>
    <w:multiLevelType w:val="hybridMultilevel"/>
    <w:tmpl w:val="C07E4F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4"/>
  </w:num>
  <w:num w:numId="3">
    <w:abstractNumId w:val="12"/>
  </w:num>
  <w:num w:numId="4">
    <w:abstractNumId w:val="41"/>
  </w:num>
  <w:num w:numId="5">
    <w:abstractNumId w:val="31"/>
  </w:num>
  <w:num w:numId="6">
    <w:abstractNumId w:val="27"/>
  </w:num>
  <w:num w:numId="7">
    <w:abstractNumId w:val="26"/>
  </w:num>
  <w:num w:numId="8">
    <w:abstractNumId w:val="39"/>
  </w:num>
  <w:num w:numId="9">
    <w:abstractNumId w:val="21"/>
  </w:num>
  <w:num w:numId="10">
    <w:abstractNumId w:val="20"/>
  </w:num>
  <w:num w:numId="11">
    <w:abstractNumId w:val="13"/>
  </w:num>
  <w:num w:numId="12">
    <w:abstractNumId w:val="19"/>
  </w:num>
  <w:num w:numId="13">
    <w:abstractNumId w:val="33"/>
  </w:num>
  <w:num w:numId="14">
    <w:abstractNumId w:val="10"/>
  </w:num>
  <w:num w:numId="15">
    <w:abstractNumId w:val="12"/>
  </w:num>
  <w:num w:numId="16">
    <w:abstractNumId w:val="25"/>
  </w:num>
  <w:num w:numId="17">
    <w:abstractNumId w:val="1"/>
  </w:num>
  <w:num w:numId="18">
    <w:abstractNumId w:val="11"/>
  </w:num>
  <w:num w:numId="19">
    <w:abstractNumId w:val="35"/>
  </w:num>
  <w:num w:numId="20">
    <w:abstractNumId w:val="14"/>
  </w:num>
  <w:num w:numId="21">
    <w:abstractNumId w:val="37"/>
  </w:num>
  <w:num w:numId="22">
    <w:abstractNumId w:val="23"/>
  </w:num>
  <w:num w:numId="23">
    <w:abstractNumId w:val="5"/>
  </w:num>
  <w:num w:numId="24">
    <w:abstractNumId w:val="3"/>
  </w:num>
  <w:num w:numId="25">
    <w:abstractNumId w:val="43"/>
  </w:num>
  <w:num w:numId="26">
    <w:abstractNumId w:val="17"/>
  </w:num>
  <w:num w:numId="27">
    <w:abstractNumId w:val="2"/>
  </w:num>
  <w:num w:numId="28">
    <w:abstractNumId w:val="29"/>
  </w:num>
  <w:num w:numId="29">
    <w:abstractNumId w:val="28"/>
  </w:num>
  <w:num w:numId="30">
    <w:abstractNumId w:val="16"/>
  </w:num>
  <w:num w:numId="31">
    <w:abstractNumId w:val="32"/>
  </w:num>
  <w:num w:numId="32">
    <w:abstractNumId w:val="8"/>
  </w:num>
  <w:num w:numId="33">
    <w:abstractNumId w:val="18"/>
  </w:num>
  <w:num w:numId="34">
    <w:abstractNumId w:val="4"/>
  </w:num>
  <w:num w:numId="35">
    <w:abstractNumId w:val="30"/>
  </w:num>
  <w:num w:numId="36">
    <w:abstractNumId w:val="0"/>
  </w:num>
  <w:num w:numId="37">
    <w:abstractNumId w:val="44"/>
  </w:num>
  <w:num w:numId="38">
    <w:abstractNumId w:val="38"/>
  </w:num>
  <w:num w:numId="39">
    <w:abstractNumId w:val="6"/>
    <w:lvlOverride w:ilvl="0">
      <w:startOverride w:val="6"/>
    </w:lvlOverride>
  </w:num>
  <w:num w:numId="40">
    <w:abstractNumId w:val="40"/>
  </w:num>
  <w:num w:numId="41">
    <w:abstractNumId w:val="22"/>
  </w:num>
  <w:num w:numId="42">
    <w:abstractNumId w:val="36"/>
  </w:num>
  <w:num w:numId="43">
    <w:abstractNumId w:val="24"/>
  </w:num>
  <w:num w:numId="44">
    <w:abstractNumId w:val="7"/>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057E9"/>
    <w:rsid w:val="00044151"/>
    <w:rsid w:val="00057A8B"/>
    <w:rsid w:val="00063B6D"/>
    <w:rsid w:val="000722B2"/>
    <w:rsid w:val="00076ED5"/>
    <w:rsid w:val="00085A38"/>
    <w:rsid w:val="000B5F6A"/>
    <w:rsid w:val="000C2CA6"/>
    <w:rsid w:val="000D1D29"/>
    <w:rsid w:val="000F46A6"/>
    <w:rsid w:val="00100F3F"/>
    <w:rsid w:val="00111866"/>
    <w:rsid w:val="00152978"/>
    <w:rsid w:val="00153DEC"/>
    <w:rsid w:val="00164BFB"/>
    <w:rsid w:val="001700F3"/>
    <w:rsid w:val="001855CE"/>
    <w:rsid w:val="001B46BB"/>
    <w:rsid w:val="001B7B6F"/>
    <w:rsid w:val="001C131D"/>
    <w:rsid w:val="001C1839"/>
    <w:rsid w:val="001C4D5D"/>
    <w:rsid w:val="001D12A6"/>
    <w:rsid w:val="001F4C3A"/>
    <w:rsid w:val="00204A5A"/>
    <w:rsid w:val="00280239"/>
    <w:rsid w:val="00280C93"/>
    <w:rsid w:val="002876E3"/>
    <w:rsid w:val="00294258"/>
    <w:rsid w:val="00294CF0"/>
    <w:rsid w:val="002B1BD7"/>
    <w:rsid w:val="002B3068"/>
    <w:rsid w:val="002D39D8"/>
    <w:rsid w:val="002D757A"/>
    <w:rsid w:val="002E6E1E"/>
    <w:rsid w:val="002F5A21"/>
    <w:rsid w:val="002F6E57"/>
    <w:rsid w:val="00312597"/>
    <w:rsid w:val="00322F11"/>
    <w:rsid w:val="00335C14"/>
    <w:rsid w:val="00341652"/>
    <w:rsid w:val="003668AA"/>
    <w:rsid w:val="00397476"/>
    <w:rsid w:val="003A3867"/>
    <w:rsid w:val="003C399E"/>
    <w:rsid w:val="003D198C"/>
    <w:rsid w:val="003E179D"/>
    <w:rsid w:val="003F5B0D"/>
    <w:rsid w:val="004173DF"/>
    <w:rsid w:val="00423A84"/>
    <w:rsid w:val="00431652"/>
    <w:rsid w:val="0047114F"/>
    <w:rsid w:val="00473090"/>
    <w:rsid w:val="00483FC6"/>
    <w:rsid w:val="004C54E4"/>
    <w:rsid w:val="004E6681"/>
    <w:rsid w:val="00514EDA"/>
    <w:rsid w:val="00540649"/>
    <w:rsid w:val="0055505E"/>
    <w:rsid w:val="00577BCD"/>
    <w:rsid w:val="005845B0"/>
    <w:rsid w:val="005852C5"/>
    <w:rsid w:val="005C3C54"/>
    <w:rsid w:val="005D313F"/>
    <w:rsid w:val="005F66C6"/>
    <w:rsid w:val="00647CD8"/>
    <w:rsid w:val="00653D51"/>
    <w:rsid w:val="0066795B"/>
    <w:rsid w:val="00671362"/>
    <w:rsid w:val="006831EA"/>
    <w:rsid w:val="00685C58"/>
    <w:rsid w:val="006A4815"/>
    <w:rsid w:val="006B00E1"/>
    <w:rsid w:val="006B0727"/>
    <w:rsid w:val="006C46CC"/>
    <w:rsid w:val="006E117E"/>
    <w:rsid w:val="006F1F21"/>
    <w:rsid w:val="006F3128"/>
    <w:rsid w:val="00722F0E"/>
    <w:rsid w:val="00722F1D"/>
    <w:rsid w:val="0072606C"/>
    <w:rsid w:val="00733D87"/>
    <w:rsid w:val="00784176"/>
    <w:rsid w:val="00815006"/>
    <w:rsid w:val="00817A11"/>
    <w:rsid w:val="00820B15"/>
    <w:rsid w:val="008301BA"/>
    <w:rsid w:val="0083282E"/>
    <w:rsid w:val="00834EDA"/>
    <w:rsid w:val="008418EB"/>
    <w:rsid w:val="00844C1A"/>
    <w:rsid w:val="00853536"/>
    <w:rsid w:val="00862CC5"/>
    <w:rsid w:val="008634C0"/>
    <w:rsid w:val="0088481C"/>
    <w:rsid w:val="008B2AD1"/>
    <w:rsid w:val="008C4FA1"/>
    <w:rsid w:val="0091623B"/>
    <w:rsid w:val="00924971"/>
    <w:rsid w:val="0093370E"/>
    <w:rsid w:val="00937206"/>
    <w:rsid w:val="00947097"/>
    <w:rsid w:val="009567A9"/>
    <w:rsid w:val="009D7E98"/>
    <w:rsid w:val="009F6C19"/>
    <w:rsid w:val="00A07911"/>
    <w:rsid w:val="00A22195"/>
    <w:rsid w:val="00A276E8"/>
    <w:rsid w:val="00A35A0F"/>
    <w:rsid w:val="00A40B23"/>
    <w:rsid w:val="00A61209"/>
    <w:rsid w:val="00A6449B"/>
    <w:rsid w:val="00A66725"/>
    <w:rsid w:val="00A749C3"/>
    <w:rsid w:val="00A86530"/>
    <w:rsid w:val="00A87107"/>
    <w:rsid w:val="00A92993"/>
    <w:rsid w:val="00AA1C28"/>
    <w:rsid w:val="00AA6311"/>
    <w:rsid w:val="00AC17AA"/>
    <w:rsid w:val="00AE212A"/>
    <w:rsid w:val="00B026DD"/>
    <w:rsid w:val="00B22DCC"/>
    <w:rsid w:val="00B23782"/>
    <w:rsid w:val="00B5028C"/>
    <w:rsid w:val="00B543EB"/>
    <w:rsid w:val="00B87125"/>
    <w:rsid w:val="00BA4671"/>
    <w:rsid w:val="00BB39E4"/>
    <w:rsid w:val="00BB4F9B"/>
    <w:rsid w:val="00BE1F6C"/>
    <w:rsid w:val="00C00E00"/>
    <w:rsid w:val="00C07828"/>
    <w:rsid w:val="00C254EA"/>
    <w:rsid w:val="00C37991"/>
    <w:rsid w:val="00C4267E"/>
    <w:rsid w:val="00C510F1"/>
    <w:rsid w:val="00C676BE"/>
    <w:rsid w:val="00C733B6"/>
    <w:rsid w:val="00C8169D"/>
    <w:rsid w:val="00C96520"/>
    <w:rsid w:val="00CB43C9"/>
    <w:rsid w:val="00CD07B0"/>
    <w:rsid w:val="00CD6C06"/>
    <w:rsid w:val="00CE67DD"/>
    <w:rsid w:val="00D05FDD"/>
    <w:rsid w:val="00D102D3"/>
    <w:rsid w:val="00D27F51"/>
    <w:rsid w:val="00D611F0"/>
    <w:rsid w:val="00D82DE6"/>
    <w:rsid w:val="00DC0F5C"/>
    <w:rsid w:val="00DC13AF"/>
    <w:rsid w:val="00DD008A"/>
    <w:rsid w:val="00DE2B5D"/>
    <w:rsid w:val="00DF3604"/>
    <w:rsid w:val="00E235C8"/>
    <w:rsid w:val="00E359D4"/>
    <w:rsid w:val="00E65A87"/>
    <w:rsid w:val="00EA5A70"/>
    <w:rsid w:val="00ED0F61"/>
    <w:rsid w:val="00ED66A7"/>
    <w:rsid w:val="00F1301D"/>
    <w:rsid w:val="00F3375D"/>
    <w:rsid w:val="00F338F9"/>
    <w:rsid w:val="00F37704"/>
    <w:rsid w:val="00F732A4"/>
    <w:rsid w:val="00FB2EBA"/>
    <w:rsid w:val="00FE042C"/>
    <w:rsid w:val="00FE1841"/>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F9BFF"/>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BalloonText">
    <w:name w:val="Balloon Text"/>
    <w:basedOn w:val="Normal"/>
    <w:link w:val="BalloonTextChar"/>
    <w:uiPriority w:val="99"/>
    <w:semiHidden/>
    <w:unhideWhenUsed/>
    <w:rsid w:val="00CB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C9"/>
    <w:rPr>
      <w:rFonts w:ascii="Segoe UI" w:hAnsi="Segoe UI" w:cs="Segoe UI"/>
      <w:sz w:val="18"/>
      <w:szCs w:val="18"/>
    </w:rPr>
  </w:style>
  <w:style w:type="character" w:styleId="CommentReference">
    <w:name w:val="annotation reference"/>
    <w:basedOn w:val="DefaultParagraphFont"/>
    <w:uiPriority w:val="99"/>
    <w:semiHidden/>
    <w:unhideWhenUsed/>
    <w:rsid w:val="00BB4F9B"/>
    <w:rPr>
      <w:sz w:val="16"/>
      <w:szCs w:val="16"/>
    </w:rPr>
  </w:style>
  <w:style w:type="paragraph" w:styleId="CommentText">
    <w:name w:val="annotation text"/>
    <w:basedOn w:val="Normal"/>
    <w:link w:val="CommentTextChar"/>
    <w:uiPriority w:val="99"/>
    <w:semiHidden/>
    <w:unhideWhenUsed/>
    <w:rsid w:val="00BB4F9B"/>
    <w:pPr>
      <w:spacing w:line="240" w:lineRule="auto"/>
    </w:pPr>
    <w:rPr>
      <w:sz w:val="20"/>
      <w:szCs w:val="20"/>
    </w:rPr>
  </w:style>
  <w:style w:type="character" w:customStyle="1" w:styleId="CommentTextChar">
    <w:name w:val="Comment Text Char"/>
    <w:basedOn w:val="DefaultParagraphFont"/>
    <w:link w:val="CommentText"/>
    <w:uiPriority w:val="99"/>
    <w:semiHidden/>
    <w:rsid w:val="00BB4F9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B4F9B"/>
    <w:rPr>
      <w:b/>
      <w:bCs/>
    </w:rPr>
  </w:style>
  <w:style w:type="character" w:customStyle="1" w:styleId="CommentSubjectChar">
    <w:name w:val="Comment Subject Char"/>
    <w:basedOn w:val="CommentTextChar"/>
    <w:link w:val="CommentSubject"/>
    <w:uiPriority w:val="99"/>
    <w:semiHidden/>
    <w:rsid w:val="00BB4F9B"/>
    <w:rPr>
      <w:rFonts w:asciiTheme="minorHAnsi" w:hAnsiTheme="minorHAnsi"/>
      <w:b/>
      <w:bCs/>
      <w:sz w:val="20"/>
      <w:szCs w:val="20"/>
    </w:rPr>
  </w:style>
  <w:style w:type="paragraph" w:styleId="Revision">
    <w:name w:val="Revision"/>
    <w:hidden/>
    <w:uiPriority w:val="99"/>
    <w:semiHidden/>
    <w:rsid w:val="00947097"/>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31A6-AED8-403F-B15E-FE5A4DC7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1096</Words>
  <Characters>6248</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5</cp:revision>
  <cp:lastPrinted>2023-04-04T10:24:00Z</cp:lastPrinted>
  <dcterms:created xsi:type="dcterms:W3CDTF">2024-03-05T16:13:00Z</dcterms:created>
  <dcterms:modified xsi:type="dcterms:W3CDTF">2024-03-21T11:22:00Z</dcterms:modified>
</cp:coreProperties>
</file>